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4940" w:rsidRDefault="007A4940" w:rsidP="007A4940">
      <w:pPr>
        <w:spacing w:after="0" w:line="480" w:lineRule="auto"/>
        <w:contextualSpacing/>
        <w:jc w:val="center"/>
      </w:pPr>
      <w:bookmarkStart w:id="0" w:name="_GoBack"/>
      <w:bookmarkEnd w:id="0"/>
    </w:p>
    <w:p w:rsidR="007A4940" w:rsidRDefault="007A4940" w:rsidP="007A4940">
      <w:pPr>
        <w:spacing w:after="0" w:line="480" w:lineRule="auto"/>
        <w:contextualSpacing/>
        <w:jc w:val="center"/>
      </w:pPr>
    </w:p>
    <w:p w:rsidR="007A4940" w:rsidRDefault="007A4940" w:rsidP="007A4940">
      <w:pPr>
        <w:spacing w:after="0" w:line="480" w:lineRule="auto"/>
        <w:contextualSpacing/>
        <w:jc w:val="center"/>
      </w:pPr>
    </w:p>
    <w:p w:rsidR="007A4940" w:rsidRDefault="007A4940" w:rsidP="007A4940">
      <w:pPr>
        <w:spacing w:after="0" w:line="480" w:lineRule="auto"/>
        <w:contextualSpacing/>
        <w:jc w:val="center"/>
      </w:pPr>
    </w:p>
    <w:p w:rsidR="007A4940" w:rsidRDefault="007A4940" w:rsidP="007A4940">
      <w:pPr>
        <w:spacing w:after="0" w:line="480" w:lineRule="auto"/>
        <w:contextualSpacing/>
        <w:jc w:val="center"/>
      </w:pPr>
    </w:p>
    <w:p w:rsidR="007A4940" w:rsidRDefault="007A4940" w:rsidP="007A4940">
      <w:pPr>
        <w:spacing w:after="0" w:line="480" w:lineRule="auto"/>
        <w:contextualSpacing/>
        <w:jc w:val="center"/>
      </w:pPr>
    </w:p>
    <w:p w:rsidR="00B63362" w:rsidRDefault="0095100A" w:rsidP="007A4940">
      <w:pPr>
        <w:spacing w:after="0" w:line="480" w:lineRule="auto"/>
        <w:contextualSpacing/>
        <w:jc w:val="center"/>
      </w:pPr>
      <w:r>
        <w:t>Annotated Bibliography</w:t>
      </w:r>
    </w:p>
    <w:p w:rsidR="0075443B" w:rsidRPr="0075443B" w:rsidRDefault="0095100A" w:rsidP="007A4940">
      <w:pPr>
        <w:spacing w:after="0" w:line="480" w:lineRule="auto"/>
        <w:contextualSpacing/>
        <w:jc w:val="center"/>
      </w:pPr>
      <w:r w:rsidRPr="0075443B">
        <w:t>Organ Donation and Transplant</w:t>
      </w:r>
    </w:p>
    <w:p w:rsidR="0075443B" w:rsidRPr="0075443B" w:rsidRDefault="0095100A" w:rsidP="007A4940">
      <w:pPr>
        <w:spacing w:after="0" w:line="480" w:lineRule="auto"/>
        <w:contextualSpacing/>
        <w:jc w:val="center"/>
      </w:pPr>
      <w:r w:rsidRPr="0075443B">
        <w:t>Students Name</w:t>
      </w:r>
    </w:p>
    <w:p w:rsidR="0075443B" w:rsidRDefault="0095100A" w:rsidP="007A4940">
      <w:pPr>
        <w:spacing w:after="0" w:line="480" w:lineRule="auto"/>
        <w:contextualSpacing/>
        <w:jc w:val="center"/>
      </w:pPr>
      <w:r w:rsidRPr="0075443B">
        <w:t>Institution Affiliation</w:t>
      </w:r>
    </w:p>
    <w:p w:rsidR="007A4940" w:rsidRDefault="0095100A">
      <w:pPr>
        <w:jc w:val="left"/>
      </w:pPr>
      <w:r>
        <w:br w:type="page"/>
      </w:r>
    </w:p>
    <w:p w:rsidR="00A97CB3" w:rsidRPr="00A97CB3" w:rsidRDefault="0095100A" w:rsidP="0075443B">
      <w:pPr>
        <w:spacing w:after="0" w:line="480" w:lineRule="auto"/>
        <w:ind w:left="720" w:hanging="720"/>
        <w:contextualSpacing/>
      </w:pPr>
      <w:r w:rsidRPr="00A97CB3">
        <w:lastRenderedPageBreak/>
        <w:t xml:space="preserve">He, X., Guo, Z., Zhao, Q., Ju, W., Wang, D., Wu, L., ... &amp; Huang, S. (2018). The first case of ischemia‐free organ transplantation in humans: a proof of </w:t>
      </w:r>
      <w:r w:rsidRPr="00A97CB3">
        <w:t>concept. </w:t>
      </w:r>
      <w:r w:rsidRPr="00A97CB3">
        <w:rPr>
          <w:i/>
          <w:iCs/>
        </w:rPr>
        <w:t>American Journal of Transplantation</w:t>
      </w:r>
      <w:r w:rsidRPr="00A97CB3">
        <w:t>, </w:t>
      </w:r>
      <w:r w:rsidRPr="00A97CB3">
        <w:rPr>
          <w:i/>
          <w:iCs/>
        </w:rPr>
        <w:t>18</w:t>
      </w:r>
      <w:r w:rsidRPr="00A97CB3">
        <w:t>(3), 737-744.</w:t>
      </w:r>
    </w:p>
    <w:p w:rsidR="00A97CB3" w:rsidRDefault="0095100A" w:rsidP="0075443B">
      <w:pPr>
        <w:spacing w:after="0" w:line="480" w:lineRule="auto"/>
        <w:ind w:firstLine="720"/>
        <w:contextualSpacing/>
      </w:pPr>
      <w:r>
        <w:t>The article focuses on how Ischemia and reperfusion injury (IRI)</w:t>
      </w:r>
      <w:r w:rsidR="000D1A32">
        <w:t xml:space="preserve"> is avoidable when the blood </w:t>
      </w:r>
      <w:r w:rsidR="004F08EC">
        <w:t>supply</w:t>
      </w:r>
      <w:r w:rsidR="000D1A32">
        <w:t xml:space="preserve"> </w:t>
      </w:r>
      <w:r w:rsidR="004F08EC">
        <w:t>for</w:t>
      </w:r>
      <w:r w:rsidR="000D1A32">
        <w:t xml:space="preserve"> the organ is not stopped leading to optimal organ transplant. The article points out that Ischemia and reperfusion injury (IRI) </w:t>
      </w:r>
      <w:r w:rsidR="004F08EC">
        <w:t>remains</w:t>
      </w:r>
      <w:r w:rsidR="000D1A32">
        <w:t xml:space="preserve"> to be the inevitable event </w:t>
      </w:r>
      <w:r w:rsidR="00E66AFE">
        <w:t xml:space="preserve">in organ transplant procedure and </w:t>
      </w:r>
      <w:r w:rsidR="004F08EC">
        <w:t>is</w:t>
      </w:r>
      <w:r w:rsidR="00E66AFE">
        <w:t xml:space="preserve"> always linked to </w:t>
      </w:r>
      <w:r w:rsidR="004F08EC">
        <w:t>most mortality</w:t>
      </w:r>
      <w:r w:rsidR="00E66AFE">
        <w:t xml:space="preserve"> as well as the post-</w:t>
      </w:r>
      <w:r w:rsidR="004F08EC">
        <w:t>transplant</w:t>
      </w:r>
      <w:r w:rsidR="00E66AFE">
        <w:t xml:space="preserve"> morbidity. </w:t>
      </w:r>
    </w:p>
    <w:p w:rsidR="004F08EC" w:rsidRPr="004F08EC" w:rsidRDefault="0095100A" w:rsidP="0075443B">
      <w:pPr>
        <w:spacing w:after="0" w:line="480" w:lineRule="auto"/>
        <w:ind w:left="720" w:hanging="720"/>
        <w:contextualSpacing/>
      </w:pPr>
      <w:r w:rsidRPr="004F08EC">
        <w:t>Khush, K. K., Cherikh, W. S., Chambers, D. C., Goldfarb, S., Hayes, D.,</w:t>
      </w:r>
      <w:r w:rsidRPr="004F08EC">
        <w:t xml:space="preserve"> Kucheryavaya, A. Y., ... &amp; Stehlik, J. (2018). The International Thoracic Organ Transplant Registry of the International Society for Heart and Lung Transplantation: thirty-fifth adult heart transplantation report—2018; focus theme: multiorgan transplantat</w:t>
      </w:r>
      <w:r w:rsidRPr="004F08EC">
        <w:t>ion. </w:t>
      </w:r>
      <w:r w:rsidRPr="004F08EC">
        <w:rPr>
          <w:i/>
          <w:iCs/>
        </w:rPr>
        <w:t>The Journal of Heart and Lung Transplantation</w:t>
      </w:r>
      <w:r w:rsidRPr="004F08EC">
        <w:t>, </w:t>
      </w:r>
      <w:r w:rsidRPr="004F08EC">
        <w:rPr>
          <w:i/>
          <w:iCs/>
        </w:rPr>
        <w:t>37</w:t>
      </w:r>
      <w:r w:rsidRPr="004F08EC">
        <w:t>(10), 1155-1168.</w:t>
      </w:r>
    </w:p>
    <w:p w:rsidR="004F08EC" w:rsidRDefault="0095100A" w:rsidP="0075443B">
      <w:pPr>
        <w:spacing w:after="0" w:line="480" w:lineRule="auto"/>
        <w:ind w:firstLine="720"/>
        <w:contextualSpacing/>
      </w:pPr>
      <w:r>
        <w:t xml:space="preserve">The </w:t>
      </w:r>
      <w:r w:rsidR="00951E79">
        <w:t>report</w:t>
      </w:r>
      <w:r>
        <w:t xml:space="preserve"> revolves around the </w:t>
      </w:r>
      <w:r w:rsidR="001B7DE6">
        <w:t xml:space="preserve">theme of multiple organ </w:t>
      </w:r>
      <w:r w:rsidR="00374314">
        <w:t>transplant</w:t>
      </w:r>
      <w:r w:rsidR="001B7DE6">
        <w:t xml:space="preserve">s, which is a major </w:t>
      </w:r>
      <w:r w:rsidR="00374314">
        <w:t>concern</w:t>
      </w:r>
      <w:r w:rsidR="001B7DE6">
        <w:t xml:space="preserve"> in </w:t>
      </w:r>
      <w:r w:rsidR="00951E79">
        <w:t>transplant</w:t>
      </w:r>
      <w:r w:rsidR="001B7DE6">
        <w:t xml:space="preserve"> ethics. The article also reports the survival instances for multiorgan </w:t>
      </w:r>
      <w:r w:rsidR="00374314">
        <w:t>transplant</w:t>
      </w:r>
      <w:r w:rsidR="001B7DE6">
        <w:t xml:space="preserve"> </w:t>
      </w:r>
      <w:r w:rsidR="00374314">
        <w:t>recipients</w:t>
      </w:r>
      <w:r w:rsidR="001B7DE6">
        <w:t xml:space="preserve">, </w:t>
      </w:r>
      <w:r w:rsidR="00951E79">
        <w:t>bronchiolitis</w:t>
      </w:r>
      <w:r w:rsidR="0097401A">
        <w:t xml:space="preserve"> obliterans, rejection burdens, </w:t>
      </w:r>
      <w:r w:rsidR="00374314">
        <w:t>transplant</w:t>
      </w:r>
      <w:r w:rsidR="0097401A">
        <w:t xml:space="preserve"> outcomes, recipient and donor ethical characteristics, common indications, geographic associations, historical </w:t>
      </w:r>
      <w:r w:rsidR="00374314">
        <w:t>transplant</w:t>
      </w:r>
      <w:r w:rsidR="0097401A">
        <w:t xml:space="preserve"> </w:t>
      </w:r>
      <w:r w:rsidR="00464323">
        <w:t xml:space="preserve">trends, and the </w:t>
      </w:r>
      <w:r w:rsidR="00374314">
        <w:t>transplant</w:t>
      </w:r>
      <w:r w:rsidR="00464323">
        <w:t xml:space="preserve"> types. </w:t>
      </w:r>
    </w:p>
    <w:p w:rsidR="00C77DC6" w:rsidRPr="00C77DC6" w:rsidRDefault="0095100A" w:rsidP="0075443B">
      <w:pPr>
        <w:spacing w:after="0" w:line="480" w:lineRule="auto"/>
        <w:ind w:left="720" w:hanging="720"/>
        <w:contextualSpacing/>
      </w:pPr>
      <w:r w:rsidRPr="00C77DC6">
        <w:t xml:space="preserve">Razonable, R. R., &amp; Humar, </w:t>
      </w:r>
      <w:r w:rsidRPr="00C77DC6">
        <w:t>A. (2019). Cytomegalovirus in solid organ transplant recipients—guidelines of the American Society of Transplantation Infectious Diseases Community of Practice. </w:t>
      </w:r>
      <w:r w:rsidRPr="00C77DC6">
        <w:rPr>
          <w:i/>
          <w:iCs/>
        </w:rPr>
        <w:t>Clinical transplantation</w:t>
      </w:r>
      <w:r w:rsidRPr="00C77DC6">
        <w:t>, </w:t>
      </w:r>
      <w:r w:rsidRPr="00C77DC6">
        <w:rPr>
          <w:i/>
          <w:iCs/>
        </w:rPr>
        <w:t>33</w:t>
      </w:r>
      <w:r w:rsidRPr="00C77DC6">
        <w:t>(9), e13512.</w:t>
      </w:r>
    </w:p>
    <w:p w:rsidR="00C77DC6" w:rsidRDefault="0095100A" w:rsidP="0075443B">
      <w:pPr>
        <w:spacing w:after="0" w:line="480" w:lineRule="auto"/>
        <w:ind w:firstLine="720"/>
        <w:contextualSpacing/>
      </w:pPr>
      <w:r>
        <w:t xml:space="preserve">The </w:t>
      </w:r>
      <w:r w:rsidR="00374314">
        <w:t>central</w:t>
      </w:r>
      <w:r>
        <w:t xml:space="preserve"> idea of the article is the </w:t>
      </w:r>
      <w:r w:rsidR="00374314">
        <w:t>ethical</w:t>
      </w:r>
      <w:r>
        <w:t xml:space="preserve"> and </w:t>
      </w:r>
      <w:r w:rsidR="00374314">
        <w:t>non-ethical</w:t>
      </w:r>
      <w:r>
        <w:t xml:space="preserve"> outcomes of solid organ </w:t>
      </w:r>
      <w:r w:rsidR="00374314">
        <w:t>transplantation</w:t>
      </w:r>
      <w:r>
        <w:t xml:space="preserve">. Cytomegalovirus (CMV) is </w:t>
      </w:r>
      <w:r w:rsidR="00374314">
        <w:t>identifie</w:t>
      </w:r>
      <w:r>
        <w:t xml:space="preserve">d as one of the most common opportunistic </w:t>
      </w:r>
      <w:r w:rsidR="00374314">
        <w:t>infections</w:t>
      </w:r>
      <w:r>
        <w:t xml:space="preserve"> that, in most </w:t>
      </w:r>
      <w:r w:rsidR="00374314">
        <w:t>time</w:t>
      </w:r>
      <w:r>
        <w:t xml:space="preserve">s, affect the outcome of any </w:t>
      </w:r>
      <w:r w:rsidR="00374314">
        <w:t>transplant</w:t>
      </w:r>
      <w:r>
        <w:t xml:space="preserve">. </w:t>
      </w:r>
      <w:r w:rsidR="00111DB0">
        <w:t xml:space="preserve">The </w:t>
      </w:r>
      <w:r w:rsidR="00374314">
        <w:t>articles</w:t>
      </w:r>
      <w:r w:rsidR="00111DB0">
        <w:t xml:space="preserve"> use more </w:t>
      </w:r>
      <w:r w:rsidR="00111DB0">
        <w:lastRenderedPageBreak/>
        <w:t xml:space="preserve">information from the American Society of Transplantation Infectious Diseases Community of Practice for evidence-based information.  </w:t>
      </w:r>
    </w:p>
    <w:p w:rsidR="00111DB0" w:rsidRPr="00111DB0" w:rsidRDefault="0095100A" w:rsidP="0075443B">
      <w:pPr>
        <w:spacing w:after="0" w:line="480" w:lineRule="auto"/>
        <w:ind w:left="720" w:hanging="720"/>
        <w:contextualSpacing/>
      </w:pPr>
      <w:r w:rsidRPr="00111DB0">
        <w:t>Smith, C., Beagley, L., Rehan, S., Neller, M. A., Crooks, P., Solomon, M., ... &amp; Campbell, S. (2019). Autologous adoptive T-cell therapy for recurrent or drug-re</w:t>
      </w:r>
      <w:r w:rsidRPr="00111DB0">
        <w:t>sistant cytomegalovirus complications in solid organ transplant recipients: a single-arm open-label phase I clinical trial. </w:t>
      </w:r>
      <w:r w:rsidRPr="00111DB0">
        <w:rPr>
          <w:i/>
          <w:iCs/>
        </w:rPr>
        <w:t>Clinical Infectious Diseases</w:t>
      </w:r>
      <w:r w:rsidRPr="00111DB0">
        <w:t>, </w:t>
      </w:r>
      <w:r w:rsidRPr="00111DB0">
        <w:rPr>
          <w:i/>
          <w:iCs/>
        </w:rPr>
        <w:t>68</w:t>
      </w:r>
      <w:r w:rsidRPr="00111DB0">
        <w:t>(4), 632-640.</w:t>
      </w:r>
    </w:p>
    <w:p w:rsidR="00111DB0" w:rsidRDefault="0095100A" w:rsidP="0075443B">
      <w:pPr>
        <w:spacing w:after="0" w:line="480" w:lineRule="auto"/>
        <w:ind w:firstLine="720"/>
        <w:contextualSpacing/>
      </w:pPr>
      <w:r>
        <w:t xml:space="preserve">The article is focused on the </w:t>
      </w:r>
      <w:r w:rsidR="00374314">
        <w:t>major</w:t>
      </w:r>
      <w:r>
        <w:t xml:space="preserve"> causes of morbidity and </w:t>
      </w:r>
      <w:r w:rsidR="00374314">
        <w:t>mortality</w:t>
      </w:r>
      <w:r>
        <w:t xml:space="preserve"> during solid org</w:t>
      </w:r>
      <w:r>
        <w:t xml:space="preserve">an </w:t>
      </w:r>
      <w:r w:rsidR="00374314">
        <w:t>transplant</w:t>
      </w:r>
      <w:r>
        <w:t xml:space="preserve">s. The </w:t>
      </w:r>
      <w:r w:rsidR="00374314">
        <w:t>ethics</w:t>
      </w:r>
      <w:r>
        <w:t xml:space="preserve"> behind the use of antiviral drugs during organ </w:t>
      </w:r>
      <w:r w:rsidR="00374314">
        <w:t>transplant</w:t>
      </w:r>
      <w:r>
        <w:t xml:space="preserve">s is much discussed within the </w:t>
      </w:r>
      <w:r w:rsidR="00374314">
        <w:t>context</w:t>
      </w:r>
      <w:r>
        <w:t xml:space="preserve"> of this article. </w:t>
      </w:r>
      <w:r w:rsidR="004A06CB">
        <w:t>The article also tries to examine the effects of some T cells during organ transplants.</w:t>
      </w:r>
    </w:p>
    <w:p w:rsidR="00111DB0" w:rsidRPr="00111DB0" w:rsidRDefault="0095100A" w:rsidP="0075443B">
      <w:pPr>
        <w:spacing w:after="0" w:line="480" w:lineRule="auto"/>
        <w:ind w:left="720" w:hanging="720"/>
        <w:contextualSpacing/>
      </w:pPr>
      <w:r w:rsidRPr="00111DB0">
        <w:t xml:space="preserve">Trotter, P. B., Summers, D. </w:t>
      </w:r>
      <w:r w:rsidRPr="00111DB0">
        <w:t xml:space="preserve">M., Ushiro-Lumb, I., Robb, M., Bradley, J. A., Powell, J., ... &amp; Neuberger, J. (2018). Use of organs from hepatitis C virus-positive donors for uninfected recipients: a potentially cost-effective approach to save lives?. </w:t>
      </w:r>
      <w:r w:rsidRPr="00111DB0">
        <w:rPr>
          <w:i/>
          <w:iCs/>
        </w:rPr>
        <w:t>Transplantation</w:t>
      </w:r>
      <w:r w:rsidRPr="00111DB0">
        <w:t>, </w:t>
      </w:r>
      <w:r w:rsidRPr="00111DB0">
        <w:rPr>
          <w:i/>
          <w:iCs/>
        </w:rPr>
        <w:t>102</w:t>
      </w:r>
      <w:r w:rsidRPr="00111DB0">
        <w:t>(4), 664-672.</w:t>
      </w:r>
    </w:p>
    <w:p w:rsidR="00111DB0" w:rsidRDefault="0095100A" w:rsidP="0075443B">
      <w:pPr>
        <w:spacing w:after="0" w:line="480" w:lineRule="auto"/>
        <w:ind w:firstLine="720"/>
        <w:contextualSpacing/>
      </w:pPr>
      <w:r>
        <w:t>T</w:t>
      </w:r>
      <w:r>
        <w:t xml:space="preserve">he </w:t>
      </w:r>
      <w:r w:rsidR="0075443B">
        <w:t>article</w:t>
      </w:r>
      <w:r>
        <w:t xml:space="preserve"> focuses on </w:t>
      </w:r>
      <w:r w:rsidR="0075443B">
        <w:t>exploring</w:t>
      </w:r>
      <w:r>
        <w:t xml:space="preserve"> the risk of disease transmission during organ </w:t>
      </w:r>
      <w:r w:rsidR="0075443B">
        <w:t>transplant</w:t>
      </w:r>
      <w:r>
        <w:t xml:space="preserve">s. The article explains the ethics behind organ </w:t>
      </w:r>
      <w:r w:rsidR="0075443B">
        <w:t>transplant</w:t>
      </w:r>
      <w:r>
        <w:t xml:space="preserve"> </w:t>
      </w:r>
      <w:r w:rsidR="0075443B">
        <w:t>the</w:t>
      </w:r>
      <w:r>
        <w:t xml:space="preserve"> poses greater risks of </w:t>
      </w:r>
      <w:r w:rsidR="0075443B">
        <w:t>disease</w:t>
      </w:r>
      <w:r>
        <w:t xml:space="preserve"> transmission. </w:t>
      </w:r>
      <w:r w:rsidR="00F74FB5">
        <w:t xml:space="preserve">The article tries to find pout some of the donors, </w:t>
      </w:r>
      <w:r w:rsidR="0075443B">
        <w:t>especially</w:t>
      </w:r>
      <w:r w:rsidR="00F74FB5">
        <w:t xml:space="preserve"> the HCVpos donor, who minimize the risk or disease transmission during organ </w:t>
      </w:r>
      <w:r w:rsidR="00F006D0">
        <w:t>transplant</w:t>
      </w:r>
      <w:r w:rsidR="00F74FB5">
        <w:t>s.</w:t>
      </w:r>
    </w:p>
    <w:p w:rsidR="004A7C14" w:rsidRPr="004A7C14" w:rsidRDefault="0095100A" w:rsidP="0075443B">
      <w:pPr>
        <w:spacing w:after="0" w:line="480" w:lineRule="auto"/>
        <w:ind w:left="720" w:hanging="720"/>
        <w:contextualSpacing/>
      </w:pPr>
      <w:r w:rsidRPr="004A7C14">
        <w:t xml:space="preserve">Papanicolaou, G. A., Silveira, F. P., Langston, A. A., Pereira, M. R., Avery, R. K., Uknis, M., ... &amp; Villano, S. (2019). Maribavir for refractory or resistant </w:t>
      </w:r>
      <w:r w:rsidRPr="004A7C14">
        <w:t>cytomegalovirus infections in hematopoietic-cell or solid-organ transplant recipients: a randomized, dose-ranging, double-blind, phase 2 study. </w:t>
      </w:r>
      <w:r w:rsidRPr="004A7C14">
        <w:rPr>
          <w:i/>
          <w:iCs/>
        </w:rPr>
        <w:t>Clinical Infectious Diseases</w:t>
      </w:r>
      <w:r w:rsidRPr="004A7C14">
        <w:t>, </w:t>
      </w:r>
      <w:r w:rsidRPr="004A7C14">
        <w:rPr>
          <w:i/>
          <w:iCs/>
        </w:rPr>
        <w:t>68</w:t>
      </w:r>
      <w:r w:rsidRPr="004A7C14">
        <w:t>(8), 1255-1264.</w:t>
      </w:r>
    </w:p>
    <w:p w:rsidR="004A7C14" w:rsidRDefault="0095100A" w:rsidP="0075443B">
      <w:pPr>
        <w:spacing w:after="0" w:line="480" w:lineRule="auto"/>
        <w:ind w:firstLine="720"/>
        <w:contextualSpacing/>
      </w:pPr>
      <w:r>
        <w:lastRenderedPageBreak/>
        <w:t>The article examines the infections that are associated with hig</w:t>
      </w:r>
      <w:r>
        <w:t xml:space="preserve">h mortality in transplant patients. The study examines a 12 years old child with RR CMV infection and plasma. </w:t>
      </w:r>
      <w:r w:rsidR="000026AD">
        <w:t>The study finds that Maribavir greater than 400mg taken twice daily was active against RR CMV. Therefore, the study indicates the need for examining the ethics related to infection during organ transplants.</w:t>
      </w:r>
    </w:p>
    <w:p w:rsidR="004A7C14" w:rsidRPr="004A7C14" w:rsidRDefault="0095100A" w:rsidP="0075443B">
      <w:pPr>
        <w:spacing w:after="0" w:line="480" w:lineRule="auto"/>
        <w:ind w:left="720" w:hanging="720"/>
        <w:contextualSpacing/>
      </w:pPr>
      <w:r w:rsidRPr="004A7C14">
        <w:t xml:space="preserve">Padela, A. I., &amp; Duivenbode, R. (2018). The ethics of organ donation, donation after circulatory determination of death, and xenotransplantation from an Islamic perspective. </w:t>
      </w:r>
      <w:r w:rsidRPr="004A7C14">
        <w:rPr>
          <w:i/>
          <w:iCs/>
        </w:rPr>
        <w:t>Xenotransplantation</w:t>
      </w:r>
      <w:r w:rsidRPr="004A7C14">
        <w:t xml:space="preserve">, </w:t>
      </w:r>
      <w:r w:rsidRPr="004A7C14">
        <w:rPr>
          <w:i/>
          <w:iCs/>
        </w:rPr>
        <w:t>25</w:t>
      </w:r>
      <w:r w:rsidRPr="004A7C14">
        <w:t>(3), 1-12.</w:t>
      </w:r>
    </w:p>
    <w:p w:rsidR="004A7C14" w:rsidRDefault="0095100A" w:rsidP="0075443B">
      <w:pPr>
        <w:spacing w:after="0" w:line="480" w:lineRule="auto"/>
        <w:ind w:firstLine="720"/>
        <w:contextualSpacing/>
      </w:pPr>
      <w:r>
        <w:t xml:space="preserve">The article much focuses on the Islamic </w:t>
      </w:r>
      <w:r w:rsidR="0075443B">
        <w:t>ethco-</w:t>
      </w:r>
      <w:r>
        <w:t xml:space="preserve">legal debates regarding organ </w:t>
      </w:r>
      <w:r w:rsidR="006E0B2B">
        <w:t>donation</w:t>
      </w:r>
      <w:r>
        <w:t xml:space="preserve"> and </w:t>
      </w:r>
      <w:r w:rsidR="006E0B2B">
        <w:t>transplant</w:t>
      </w:r>
      <w:r>
        <w:t xml:space="preserve">. </w:t>
      </w:r>
      <w:r w:rsidR="00D335B5">
        <w:t xml:space="preserve">The article </w:t>
      </w:r>
      <w:r w:rsidR="006E0B2B">
        <w:t>groups</w:t>
      </w:r>
      <w:r w:rsidR="00D335B5">
        <w:t xml:space="preserve"> the debates into three broad </w:t>
      </w:r>
      <w:r w:rsidR="006E0B2B">
        <w:t>positions</w:t>
      </w:r>
      <w:r w:rsidR="00D335B5">
        <w:t xml:space="preserve"> in </w:t>
      </w:r>
      <w:r w:rsidR="006E0B2B">
        <w:t>consideration</w:t>
      </w:r>
      <w:r w:rsidR="00D335B5">
        <w:t xml:space="preserve"> with the violation of human dignity. </w:t>
      </w:r>
      <w:r w:rsidR="00BC084A">
        <w:t xml:space="preserve">The article speculates the need for conditions that could pose </w:t>
      </w:r>
      <w:r w:rsidR="006E0B2B">
        <w:t>minimal</w:t>
      </w:r>
      <w:r w:rsidR="00BC084A">
        <w:t xml:space="preserve"> harm to </w:t>
      </w:r>
      <w:r w:rsidR="006E0B2B">
        <w:t>both</w:t>
      </w:r>
      <w:r w:rsidR="00BC084A">
        <w:t xml:space="preserve"> the </w:t>
      </w:r>
      <w:r w:rsidR="006E0B2B">
        <w:t>donor</w:t>
      </w:r>
      <w:r w:rsidR="00BC084A">
        <w:t xml:space="preserve"> and the recipient. </w:t>
      </w:r>
    </w:p>
    <w:p w:rsidR="00852798" w:rsidRPr="00852798" w:rsidRDefault="0095100A" w:rsidP="0075443B">
      <w:pPr>
        <w:spacing w:after="0" w:line="480" w:lineRule="auto"/>
        <w:contextualSpacing/>
      </w:pPr>
      <w:r w:rsidRPr="00852798">
        <w:t xml:space="preserve">Segal, J. B. (2018). </w:t>
      </w:r>
      <w:r w:rsidRPr="00852798">
        <w:rPr>
          <w:i/>
          <w:iCs/>
        </w:rPr>
        <w:t>The Ethics of Organ Donation: First, Do No Harm?</w:t>
      </w:r>
      <w:r w:rsidRPr="00852798">
        <w:t xml:space="preserve"> (Doctoral dissertation).</w:t>
      </w:r>
    </w:p>
    <w:p w:rsidR="00BC084A" w:rsidRDefault="0095100A" w:rsidP="0075443B">
      <w:pPr>
        <w:spacing w:after="0" w:line="480" w:lineRule="auto"/>
        <w:ind w:firstLine="720"/>
        <w:contextualSpacing/>
      </w:pPr>
      <w:r>
        <w:t xml:space="preserve">The article revolves around the </w:t>
      </w:r>
      <w:r w:rsidRPr="00644A85">
        <w:t>dead donor rule (DDR)</w:t>
      </w:r>
      <w:r>
        <w:t xml:space="preserve">, </w:t>
      </w:r>
      <w:r w:rsidR="006E0B2B">
        <w:t>which</w:t>
      </w:r>
      <w:r>
        <w:t xml:space="preserve"> stipulates that </w:t>
      </w:r>
      <w:r>
        <w:t xml:space="preserve">the donors must be dead before life-sustaining organs are removed from them. </w:t>
      </w:r>
      <w:r w:rsidR="006E0B2B">
        <w:t>Their</w:t>
      </w:r>
      <w:r>
        <w:t xml:space="preserve"> rule is made for protecting the organ </w:t>
      </w:r>
      <w:r w:rsidR="006E0B2B">
        <w:t>donors</w:t>
      </w:r>
      <w:r>
        <w:t xml:space="preserve"> from suffering </w:t>
      </w:r>
      <w:r w:rsidR="006E0B2B">
        <w:t>unnecessary</w:t>
      </w:r>
      <w:r>
        <w:t xml:space="preserve"> ant harm. </w:t>
      </w:r>
      <w:r w:rsidR="00025922">
        <w:t xml:space="preserve">The article takes into account several circumstances to </w:t>
      </w:r>
      <w:r w:rsidR="006E0B2B">
        <w:t>analyze</w:t>
      </w:r>
      <w:r w:rsidR="00025922">
        <w:t xml:space="preserve"> the harm that might be done to the organ donor. </w:t>
      </w:r>
    </w:p>
    <w:p w:rsidR="00852798" w:rsidRPr="00852798" w:rsidRDefault="0095100A" w:rsidP="0075443B">
      <w:pPr>
        <w:spacing w:after="0" w:line="480" w:lineRule="auto"/>
        <w:contextualSpacing/>
      </w:pPr>
      <w:r w:rsidRPr="00852798">
        <w:t>Tarzian, A. J. (2016). Ethics of Organ Donation and Transplantation.</w:t>
      </w:r>
    </w:p>
    <w:p w:rsidR="00852798" w:rsidRDefault="0095100A" w:rsidP="0075443B">
      <w:pPr>
        <w:spacing w:after="0" w:line="480" w:lineRule="auto"/>
        <w:ind w:firstLine="720"/>
        <w:contextualSpacing/>
      </w:pPr>
      <w:r>
        <w:t xml:space="preserve">The article </w:t>
      </w:r>
      <w:r w:rsidR="006E0B2B">
        <w:t>revises</w:t>
      </w:r>
      <w:r>
        <w:t xml:space="preserve"> the U.S laws and regulations </w:t>
      </w:r>
      <w:r w:rsidR="006E0B2B">
        <w:t>associated</w:t>
      </w:r>
      <w:r>
        <w:t xml:space="preserve"> with organ </w:t>
      </w:r>
      <w:r w:rsidR="006E0B2B">
        <w:t>transplant</w:t>
      </w:r>
      <w:r>
        <w:t xml:space="preserve">s, specifically the National Organ </w:t>
      </w:r>
      <w:r w:rsidR="006E0B2B">
        <w:t>Transplant</w:t>
      </w:r>
      <w:r>
        <w:t xml:space="preserve"> Act (NOTA) 1984. </w:t>
      </w:r>
      <w:r w:rsidR="0001786B">
        <w:t xml:space="preserve">A close review of the entire network of organ </w:t>
      </w:r>
      <w:r w:rsidR="006E0B2B">
        <w:t>transplant</w:t>
      </w:r>
      <w:r w:rsidR="0001786B">
        <w:t xml:space="preserve"> is done. The determination of </w:t>
      </w:r>
      <w:r w:rsidR="006E0B2B">
        <w:t>death</w:t>
      </w:r>
      <w:r w:rsidR="0001786B">
        <w:t xml:space="preserve"> is also another issue of focus within the </w:t>
      </w:r>
      <w:r w:rsidR="006E0B2B">
        <w:t>context</w:t>
      </w:r>
      <w:r w:rsidR="0001786B">
        <w:t xml:space="preserve"> of the article. </w:t>
      </w:r>
    </w:p>
    <w:p w:rsidR="00540F29" w:rsidRPr="00273725" w:rsidRDefault="0095100A" w:rsidP="0075443B">
      <w:pPr>
        <w:spacing w:after="0" w:line="480" w:lineRule="auto"/>
        <w:ind w:left="720" w:hanging="720"/>
        <w:contextualSpacing/>
        <w:jc w:val="left"/>
        <w:rPr>
          <w:rFonts w:eastAsia="Times New Roman" w:cs="Times New Roman"/>
          <w:szCs w:val="24"/>
        </w:rPr>
      </w:pPr>
      <w:r w:rsidRPr="00273725">
        <w:rPr>
          <w:rFonts w:eastAsia="Times New Roman" w:cs="Times New Roman"/>
          <w:szCs w:val="24"/>
        </w:rPr>
        <w:t xml:space="preserve">Lee, L. (2018). The Ethics of Organ Donation in Patients Who Lack the Capacity for Decision Making. </w:t>
      </w:r>
      <w:r w:rsidRPr="00273725">
        <w:rPr>
          <w:rFonts w:eastAsia="Times New Roman" w:cs="Times New Roman"/>
          <w:i/>
          <w:iCs/>
          <w:szCs w:val="24"/>
        </w:rPr>
        <w:t>Creative nursing</w:t>
      </w:r>
      <w:r w:rsidRPr="00273725">
        <w:rPr>
          <w:rFonts w:eastAsia="Times New Roman" w:cs="Times New Roman"/>
          <w:szCs w:val="24"/>
        </w:rPr>
        <w:t xml:space="preserve">, </w:t>
      </w:r>
      <w:r w:rsidRPr="00273725">
        <w:rPr>
          <w:rFonts w:eastAsia="Times New Roman" w:cs="Times New Roman"/>
          <w:i/>
          <w:iCs/>
          <w:szCs w:val="24"/>
        </w:rPr>
        <w:t>24</w:t>
      </w:r>
      <w:r>
        <w:rPr>
          <w:rFonts w:eastAsia="Times New Roman" w:cs="Times New Roman"/>
          <w:szCs w:val="24"/>
        </w:rPr>
        <w:t>(3), 186-190</w:t>
      </w:r>
      <w:r w:rsidRPr="00540F29">
        <w:t>.</w:t>
      </w:r>
    </w:p>
    <w:p w:rsidR="00852798" w:rsidRPr="00A97CB3" w:rsidRDefault="0095100A" w:rsidP="0075443B">
      <w:pPr>
        <w:spacing w:after="0" w:line="480" w:lineRule="auto"/>
        <w:ind w:firstLine="720"/>
        <w:contextualSpacing/>
      </w:pPr>
      <w:r>
        <w:lastRenderedPageBreak/>
        <w:t xml:space="preserve">The article focuses on the free and </w:t>
      </w:r>
      <w:r w:rsidR="0075443B">
        <w:t>informed</w:t>
      </w:r>
      <w:r>
        <w:t xml:space="preserve"> consent </w:t>
      </w:r>
      <w:r w:rsidR="0075443B">
        <w:t>of</w:t>
      </w:r>
      <w:r>
        <w:t xml:space="preserve"> organ </w:t>
      </w:r>
      <w:r w:rsidR="0075443B">
        <w:t>transplant</w:t>
      </w:r>
      <w:r>
        <w:t xml:space="preserve">s from living </w:t>
      </w:r>
      <w:r w:rsidR="0075443B">
        <w:t>donors</w:t>
      </w:r>
      <w:r>
        <w:t xml:space="preserve">: the study related organ </w:t>
      </w:r>
      <w:r w:rsidR="0075443B">
        <w:t>transplant</w:t>
      </w:r>
      <w:r>
        <w:t xml:space="preserve"> and donation with the ethics revolving health decision making. </w:t>
      </w:r>
      <w:r w:rsidR="00104447">
        <w:t xml:space="preserve">Additionally, the study reviews the bioethical principals that healthcare professionals are required to accord. Awareness of the current consensus statement by </w:t>
      </w:r>
      <w:r w:rsidR="0075443B">
        <w:t>healthcare</w:t>
      </w:r>
      <w:r w:rsidR="00951E79">
        <w:t xml:space="preserve"> providers is another issue outlined in the article. </w:t>
      </w:r>
    </w:p>
    <w:sectPr w:rsidR="00852798" w:rsidRPr="00A97CB3" w:rsidSect="007A4940">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100A" w:rsidRDefault="0095100A">
      <w:pPr>
        <w:spacing w:after="0" w:line="240" w:lineRule="auto"/>
      </w:pPr>
      <w:r>
        <w:separator/>
      </w:r>
    </w:p>
  </w:endnote>
  <w:endnote w:type="continuationSeparator" w:id="0">
    <w:p w:rsidR="0095100A" w:rsidRDefault="009510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100A" w:rsidRDefault="0095100A">
      <w:pPr>
        <w:spacing w:after="0" w:line="240" w:lineRule="auto"/>
      </w:pPr>
      <w:r>
        <w:separator/>
      </w:r>
    </w:p>
  </w:footnote>
  <w:footnote w:type="continuationSeparator" w:id="0">
    <w:p w:rsidR="0095100A" w:rsidRDefault="009510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69082826"/>
      <w:docPartObj>
        <w:docPartGallery w:val="Page Numbers (Top of Page)"/>
        <w:docPartUnique/>
      </w:docPartObj>
    </w:sdtPr>
    <w:sdtEndPr>
      <w:rPr>
        <w:noProof/>
      </w:rPr>
    </w:sdtEndPr>
    <w:sdtContent>
      <w:p w:rsidR="007A4940" w:rsidRDefault="0095100A" w:rsidP="007A4940">
        <w:pPr>
          <w:pStyle w:val="Header"/>
          <w:tabs>
            <w:tab w:val="left" w:pos="345"/>
          </w:tabs>
          <w:jc w:val="left"/>
        </w:pPr>
        <w:r w:rsidRPr="007A4940">
          <w:t>ANNOTATE</w:t>
        </w:r>
        <w:r w:rsidRPr="007A4940">
          <w:t>D BIBLIOGRAPHY</w:t>
        </w:r>
        <w:r>
          <w:tab/>
        </w:r>
        <w:r>
          <w:tab/>
        </w:r>
        <w:r>
          <w:fldChar w:fldCharType="begin"/>
        </w:r>
        <w:r>
          <w:instrText xml:space="preserve"> PAGE   \* MERGEFORMAT </w:instrText>
        </w:r>
        <w:r>
          <w:fldChar w:fldCharType="separate"/>
        </w:r>
        <w:r w:rsidR="00C60583">
          <w:rPr>
            <w:noProof/>
          </w:rPr>
          <w:t>3</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4940" w:rsidRDefault="0095100A">
    <w:pPr>
      <w:pStyle w:val="Header"/>
    </w:pPr>
    <w:r>
      <w:t xml:space="preserve">Running head: </w:t>
    </w:r>
    <w:r w:rsidRPr="007A4940">
      <w:t>ANNOTATED BIBLIOGRAPHY</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7CB3"/>
    <w:rsid w:val="000026AD"/>
    <w:rsid w:val="0001786B"/>
    <w:rsid w:val="00025922"/>
    <w:rsid w:val="000D1A32"/>
    <w:rsid w:val="00104447"/>
    <w:rsid w:val="00111DB0"/>
    <w:rsid w:val="001B7DE6"/>
    <w:rsid w:val="001F66E3"/>
    <w:rsid w:val="00273725"/>
    <w:rsid w:val="00374314"/>
    <w:rsid w:val="00464323"/>
    <w:rsid w:val="004A06CB"/>
    <w:rsid w:val="004A7C14"/>
    <w:rsid w:val="004F08EC"/>
    <w:rsid w:val="004F5E6B"/>
    <w:rsid w:val="00501DCB"/>
    <w:rsid w:val="00526F7B"/>
    <w:rsid w:val="00540F29"/>
    <w:rsid w:val="00644A85"/>
    <w:rsid w:val="006E0B2B"/>
    <w:rsid w:val="0075443B"/>
    <w:rsid w:val="007A4940"/>
    <w:rsid w:val="00852798"/>
    <w:rsid w:val="008A596E"/>
    <w:rsid w:val="00922D97"/>
    <w:rsid w:val="0095100A"/>
    <w:rsid w:val="00951E79"/>
    <w:rsid w:val="0097401A"/>
    <w:rsid w:val="00A255EE"/>
    <w:rsid w:val="00A97CB3"/>
    <w:rsid w:val="00B57F8B"/>
    <w:rsid w:val="00B63362"/>
    <w:rsid w:val="00BC084A"/>
    <w:rsid w:val="00C60583"/>
    <w:rsid w:val="00C77DC6"/>
    <w:rsid w:val="00D335B5"/>
    <w:rsid w:val="00E66AFE"/>
    <w:rsid w:val="00EE3575"/>
    <w:rsid w:val="00F006D0"/>
    <w:rsid w:val="00F74F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D15E18-AC50-4CBA-BEE7-D977683EC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49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4940"/>
    <w:rPr>
      <w:rFonts w:ascii="Times New Roman" w:hAnsi="Times New Roman"/>
      <w:sz w:val="24"/>
    </w:rPr>
  </w:style>
  <w:style w:type="paragraph" w:styleId="Footer">
    <w:name w:val="footer"/>
    <w:basedOn w:val="Normal"/>
    <w:link w:val="FooterChar"/>
    <w:uiPriority w:val="99"/>
    <w:unhideWhenUsed/>
    <w:rsid w:val="007A49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4940"/>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904</Words>
  <Characters>5153</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2020-02-21T16:52:00Z</dcterms:created>
  <dcterms:modified xsi:type="dcterms:W3CDTF">2020-02-21T16:52:00Z</dcterms:modified>
</cp:coreProperties>
</file>