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FAA" w:rsidRPr="0092497B" w:rsidRDefault="008A5FAA" w:rsidP="008A5FAA">
      <w:pPr>
        <w:pStyle w:val="NormalWeb"/>
        <w:spacing w:before="0" w:beforeAutospacing="0" w:after="0" w:afterAutospacing="0" w:line="480" w:lineRule="auto"/>
        <w:jc w:val="both"/>
        <w:rPr>
          <w:rStyle w:val="Emphasis"/>
        </w:rPr>
      </w:pPr>
    </w:p>
    <w:p w:rsidR="008A5FAA" w:rsidRDefault="008A5FAA" w:rsidP="008A5FAA">
      <w:pPr>
        <w:pStyle w:val="NormalWeb"/>
        <w:spacing w:before="0" w:beforeAutospacing="0" w:after="0" w:afterAutospacing="0" w:line="480" w:lineRule="auto"/>
        <w:jc w:val="both"/>
        <w:rPr>
          <w:color w:val="1C1E29"/>
        </w:rPr>
      </w:pPr>
    </w:p>
    <w:p w:rsidR="008A5FAA" w:rsidRDefault="008A5FAA" w:rsidP="008A5FAA">
      <w:pPr>
        <w:pStyle w:val="NormalWeb"/>
        <w:spacing w:before="0" w:beforeAutospacing="0" w:after="0" w:afterAutospacing="0" w:line="480" w:lineRule="auto"/>
        <w:jc w:val="both"/>
        <w:rPr>
          <w:color w:val="1C1E29"/>
        </w:rPr>
      </w:pPr>
    </w:p>
    <w:p w:rsidR="008A5FAA" w:rsidRDefault="008A5FAA" w:rsidP="008A5FAA">
      <w:pPr>
        <w:pStyle w:val="NormalWeb"/>
        <w:spacing w:before="0" w:beforeAutospacing="0" w:after="0" w:afterAutospacing="0" w:line="480" w:lineRule="auto"/>
        <w:jc w:val="both"/>
        <w:rPr>
          <w:color w:val="1C1E29"/>
        </w:rPr>
      </w:pPr>
    </w:p>
    <w:p w:rsidR="008A5FAA" w:rsidRDefault="008A5FAA" w:rsidP="008A5FAA">
      <w:pPr>
        <w:pStyle w:val="NormalWeb"/>
        <w:spacing w:before="0" w:beforeAutospacing="0" w:after="0" w:afterAutospacing="0" w:line="480" w:lineRule="auto"/>
        <w:jc w:val="both"/>
        <w:rPr>
          <w:color w:val="1C1E29"/>
        </w:rPr>
      </w:pPr>
    </w:p>
    <w:p w:rsidR="008A5FAA" w:rsidRDefault="008A5FAA" w:rsidP="008A5FAA">
      <w:pPr>
        <w:pStyle w:val="NormalWeb"/>
        <w:spacing w:before="0" w:beforeAutospacing="0" w:after="0" w:afterAutospacing="0" w:line="480" w:lineRule="auto"/>
        <w:jc w:val="both"/>
        <w:rPr>
          <w:color w:val="1C1E29"/>
        </w:rPr>
      </w:pPr>
    </w:p>
    <w:p w:rsidR="008A5FAA" w:rsidRDefault="008A5FAA" w:rsidP="008A5FAA">
      <w:pPr>
        <w:pStyle w:val="NormalWeb"/>
        <w:spacing w:before="0" w:beforeAutospacing="0" w:after="0" w:afterAutospacing="0" w:line="480" w:lineRule="auto"/>
        <w:jc w:val="both"/>
        <w:rPr>
          <w:color w:val="1C1E29"/>
        </w:rPr>
      </w:pPr>
    </w:p>
    <w:p w:rsidR="008A5FAA" w:rsidRDefault="008A5FAA" w:rsidP="008A5FAA">
      <w:pPr>
        <w:pStyle w:val="NormalWeb"/>
        <w:spacing w:before="0" w:beforeAutospacing="0" w:after="0" w:afterAutospacing="0" w:line="480" w:lineRule="auto"/>
        <w:jc w:val="both"/>
        <w:rPr>
          <w:color w:val="1C1E29"/>
        </w:rPr>
      </w:pPr>
    </w:p>
    <w:p w:rsidR="008A5FAA" w:rsidRDefault="008A5FAA" w:rsidP="008A5FAA">
      <w:pPr>
        <w:pStyle w:val="NormalWeb"/>
        <w:spacing w:before="0" w:beforeAutospacing="0" w:after="0" w:afterAutospacing="0" w:line="480" w:lineRule="auto"/>
        <w:jc w:val="both"/>
        <w:rPr>
          <w:color w:val="1C1E29"/>
        </w:rPr>
      </w:pPr>
    </w:p>
    <w:p w:rsidR="008A5FAA" w:rsidRDefault="008A5FAA" w:rsidP="008A5FAA">
      <w:pPr>
        <w:pStyle w:val="NormalWeb"/>
        <w:spacing w:before="0" w:beforeAutospacing="0" w:after="0" w:afterAutospacing="0" w:line="480" w:lineRule="auto"/>
        <w:jc w:val="both"/>
        <w:rPr>
          <w:color w:val="1C1E29"/>
        </w:rPr>
      </w:pPr>
    </w:p>
    <w:p w:rsidR="008A5FAA" w:rsidRDefault="008A5FAA" w:rsidP="008A5FAA">
      <w:pPr>
        <w:pStyle w:val="NormalWeb"/>
        <w:spacing w:before="0" w:beforeAutospacing="0" w:after="0" w:afterAutospacing="0" w:line="480" w:lineRule="auto"/>
        <w:jc w:val="center"/>
      </w:pPr>
      <w:r>
        <w:t>E</w:t>
      </w:r>
      <w:r w:rsidR="0092497B">
        <w:t>conomic burdens for rising cost of healthcare</w:t>
      </w:r>
    </w:p>
    <w:p w:rsidR="008A5FAA" w:rsidRDefault="008A5FAA" w:rsidP="008A5FAA">
      <w:pPr>
        <w:pStyle w:val="NormalWeb"/>
        <w:spacing w:before="0" w:beforeAutospacing="0" w:after="0" w:afterAutospacing="0" w:line="480" w:lineRule="auto"/>
        <w:jc w:val="center"/>
      </w:pPr>
      <w:r>
        <w:t>Name:</w:t>
      </w:r>
    </w:p>
    <w:p w:rsidR="008A5FAA" w:rsidRDefault="008A5FAA" w:rsidP="008A5FAA">
      <w:pPr>
        <w:pStyle w:val="NormalWeb"/>
        <w:spacing w:before="0" w:beforeAutospacing="0" w:after="0" w:afterAutospacing="0" w:line="480" w:lineRule="auto"/>
        <w:jc w:val="center"/>
      </w:pPr>
      <w:r>
        <w:t>Instructor:</w:t>
      </w:r>
    </w:p>
    <w:p w:rsidR="008A5FAA" w:rsidRDefault="008A5FAA" w:rsidP="008A5FAA">
      <w:pPr>
        <w:pStyle w:val="NormalWeb"/>
        <w:spacing w:before="0" w:beforeAutospacing="0" w:after="0" w:afterAutospacing="0" w:line="480" w:lineRule="auto"/>
        <w:jc w:val="center"/>
      </w:pPr>
      <w:r>
        <w:t>Course:</w:t>
      </w:r>
    </w:p>
    <w:p w:rsidR="008A5FAA" w:rsidRDefault="008A5FAA" w:rsidP="008A5FAA">
      <w:pPr>
        <w:pStyle w:val="NormalWeb"/>
        <w:spacing w:before="0" w:beforeAutospacing="0" w:after="0" w:afterAutospacing="0" w:line="480" w:lineRule="auto"/>
        <w:jc w:val="center"/>
      </w:pPr>
      <w:r>
        <w:t>Date:</w:t>
      </w:r>
    </w:p>
    <w:p w:rsidR="008A5FAA" w:rsidRDefault="008A5FAA" w:rsidP="008A5FAA">
      <w:pPr>
        <w:pStyle w:val="NormalWeb"/>
        <w:spacing w:before="0" w:beforeAutospacing="0" w:after="0" w:afterAutospacing="0" w:line="480" w:lineRule="auto"/>
        <w:jc w:val="center"/>
      </w:pPr>
    </w:p>
    <w:p w:rsidR="008A5FAA" w:rsidRDefault="008A5FAA" w:rsidP="008A5FAA">
      <w:pPr>
        <w:pStyle w:val="NormalWeb"/>
        <w:spacing w:before="0" w:beforeAutospacing="0" w:after="0" w:afterAutospacing="0" w:line="480" w:lineRule="auto"/>
        <w:jc w:val="center"/>
      </w:pPr>
    </w:p>
    <w:p w:rsidR="008A5FAA" w:rsidRDefault="008A5FAA" w:rsidP="008A5FAA">
      <w:pPr>
        <w:pStyle w:val="NormalWeb"/>
        <w:spacing w:before="0" w:beforeAutospacing="0" w:after="0" w:afterAutospacing="0" w:line="480" w:lineRule="auto"/>
        <w:jc w:val="center"/>
      </w:pPr>
    </w:p>
    <w:p w:rsidR="008A5FAA" w:rsidRDefault="008A5FAA" w:rsidP="008A5FAA">
      <w:pPr>
        <w:pStyle w:val="NormalWeb"/>
        <w:spacing w:before="0" w:beforeAutospacing="0" w:after="0" w:afterAutospacing="0" w:line="480" w:lineRule="auto"/>
        <w:jc w:val="center"/>
      </w:pPr>
    </w:p>
    <w:p w:rsidR="008A5FAA" w:rsidRDefault="008A5FAA" w:rsidP="008A5FAA">
      <w:pPr>
        <w:pStyle w:val="NormalWeb"/>
        <w:spacing w:before="0" w:beforeAutospacing="0" w:after="0" w:afterAutospacing="0" w:line="480" w:lineRule="auto"/>
        <w:jc w:val="center"/>
      </w:pPr>
    </w:p>
    <w:p w:rsidR="008A5FAA" w:rsidRDefault="008A5FAA" w:rsidP="008A5FAA">
      <w:pPr>
        <w:pStyle w:val="NormalWeb"/>
        <w:spacing w:before="0" w:beforeAutospacing="0" w:after="0" w:afterAutospacing="0" w:line="480" w:lineRule="auto"/>
        <w:jc w:val="center"/>
      </w:pPr>
    </w:p>
    <w:p w:rsidR="008A5FAA" w:rsidRDefault="008A5FAA" w:rsidP="008A5FAA">
      <w:pPr>
        <w:pStyle w:val="NormalWeb"/>
        <w:spacing w:before="0" w:beforeAutospacing="0" w:after="0" w:afterAutospacing="0" w:line="480" w:lineRule="auto"/>
        <w:jc w:val="center"/>
      </w:pPr>
    </w:p>
    <w:p w:rsidR="008A5FAA" w:rsidRDefault="008A5FAA" w:rsidP="008A5FAA">
      <w:pPr>
        <w:pStyle w:val="NormalWeb"/>
        <w:spacing w:before="0" w:beforeAutospacing="0" w:after="0" w:afterAutospacing="0" w:line="480" w:lineRule="auto"/>
        <w:jc w:val="both"/>
        <w:rPr>
          <w:color w:val="1C1E29"/>
        </w:rPr>
      </w:pPr>
    </w:p>
    <w:p w:rsidR="008A5FAA" w:rsidRDefault="008A5FAA" w:rsidP="008A5FAA">
      <w:pPr>
        <w:pStyle w:val="NormalWeb"/>
        <w:spacing w:before="0" w:beforeAutospacing="0" w:after="0" w:afterAutospacing="0" w:line="480" w:lineRule="auto"/>
        <w:jc w:val="both"/>
        <w:rPr>
          <w:color w:val="1C1E29"/>
        </w:rPr>
      </w:pPr>
      <w:r>
        <w:rPr>
          <w:color w:val="1C1E29"/>
        </w:rPr>
        <w:lastRenderedPageBreak/>
        <w:t>Banegas, M. P., Guy Jr, G. P., de Moor, J. S., Ekwueme, D. U., Virgo, K. S., Kent, E. E., ... &amp; Yabroff, K. R. (2016). For working-age cancer survivors, medical debt and bankruptcy create financial hardships. </w:t>
      </w:r>
      <w:r>
        <w:rPr>
          <w:rStyle w:val="Emphasis"/>
          <w:color w:val="1C1E29"/>
        </w:rPr>
        <w:t>Health Affairs</w:t>
      </w:r>
      <w:r>
        <w:rPr>
          <w:color w:val="1C1E29"/>
        </w:rPr>
        <w:t>, </w:t>
      </w:r>
      <w:r>
        <w:rPr>
          <w:rStyle w:val="Emphasis"/>
          <w:color w:val="1C1E29"/>
        </w:rPr>
        <w:t>35</w:t>
      </w:r>
      <w:r>
        <w:rPr>
          <w:color w:val="1C1E29"/>
        </w:rPr>
        <w:t>(1), 54-61.</w:t>
      </w:r>
    </w:p>
    <w:p w:rsidR="008A5FAA" w:rsidRDefault="003007DA" w:rsidP="008A5FAA">
      <w:pPr>
        <w:pStyle w:val="NormalWeb"/>
        <w:spacing w:before="0" w:beforeAutospacing="0" w:after="0" w:afterAutospacing="0" w:line="480" w:lineRule="auto"/>
        <w:jc w:val="both"/>
        <w:rPr>
          <w:color w:val="1C1E29"/>
        </w:rPr>
      </w:pPr>
      <w:r>
        <w:rPr>
          <w:color w:val="1C1E29"/>
        </w:rPr>
        <w:tab/>
      </w:r>
      <w:r w:rsidR="008A5FAA">
        <w:rPr>
          <w:color w:val="1C1E29"/>
        </w:rPr>
        <w:t xml:space="preserve">The source shares valuable insights on terminal illness and the economic burdens that individuals have to undergo. It is sufficient to note that the rising healthcare costs significantly impact on individuals with chronic illness. The problem statement is mainly the debts and bankruptcy that most cancer survivors incur because of the increased cost of healthcare. Often, medical procedures for terminal illness are expensive and thus results in financial burdens for patients and their families. The sole purpose of the study is to enhance an understanding of the financial burdens that working-age cancer patients experience and also the vulnerable populations. Markedly, helps in providing measures that might help in containing the issue of financial burdens especially for at-risk populations such as those from low-income families. Online surveys were used as the methodology in the research. The online surveys were employed to elucidate the needs of individuals diagnosed with cancer during and after their treatment. Participants were mainly recruited using online platforms such as social networks and through partnering with community and social organizations. The study findings indicated that the majority of the patients were non-Hispanic representing 88%, females were 67%, married 69% and 54% represented the employed. Furthermore, 64% of respondents were worried about the financial burdens that they incur when seeking cancer treatment, that is, the need to pay large bills for cancer treatment. Finally, 1,583 reported that survivors reported that they had undergone debt, and about 30% had undergone a debt of between $10,000-25, 0000. Notably, in understanding this financial hardship, future studies should invest efforts in seeking evidence-based interventions that might help in addressing the financial burden. One of the weaknesses of </w:t>
      </w:r>
      <w:r w:rsidR="008A5FAA">
        <w:rPr>
          <w:color w:val="1C1E29"/>
        </w:rPr>
        <w:lastRenderedPageBreak/>
        <w:t>the study is that survivors were recruited from multiple sources and thus population-based. Furthermore, online surveys usually require participants to have an internet connection. Finally, the information of the study was self-reported and thus might result in bias.</w:t>
      </w:r>
    </w:p>
    <w:p w:rsidR="008A5FAA" w:rsidRDefault="008A5FAA" w:rsidP="008A5FAA">
      <w:pPr>
        <w:pStyle w:val="NormalWeb"/>
        <w:spacing w:before="0" w:beforeAutospacing="0" w:after="0" w:afterAutospacing="0" w:line="480" w:lineRule="auto"/>
        <w:jc w:val="both"/>
        <w:rPr>
          <w:color w:val="1C1E29"/>
        </w:rPr>
      </w:pPr>
      <w:r>
        <w:rPr>
          <w:color w:val="1C1E29"/>
        </w:rPr>
        <w:t>Iuga, A. O., &amp; McGuire, M. J. (2014). Adherence and health care costs. </w:t>
      </w:r>
      <w:r>
        <w:rPr>
          <w:rStyle w:val="Emphasis"/>
          <w:color w:val="1C1E29"/>
        </w:rPr>
        <w:t>Risk management and healthcare policy</w:t>
      </w:r>
      <w:r>
        <w:rPr>
          <w:color w:val="1C1E29"/>
        </w:rPr>
        <w:t>, </w:t>
      </w:r>
      <w:r>
        <w:rPr>
          <w:rStyle w:val="Emphasis"/>
          <w:color w:val="1C1E29"/>
        </w:rPr>
        <w:t>7</w:t>
      </w:r>
      <w:r>
        <w:rPr>
          <w:color w:val="1C1E29"/>
        </w:rPr>
        <w:t>, 35.</w:t>
      </w:r>
      <w:r w:rsidR="00EC6249" w:rsidRPr="00EC6249">
        <w:t xml:space="preserve"> </w:t>
      </w:r>
      <w:r w:rsidR="00EC6249" w:rsidRPr="00EC6249">
        <w:rPr>
          <w:color w:val="1C1E29"/>
        </w:rPr>
        <w:t>https://www.ncbi.nlm.nih.gov/pmc/articles/PMC3934668/</w:t>
      </w:r>
      <w:r w:rsidR="00EC6249">
        <w:rPr>
          <w:color w:val="1C1E29"/>
        </w:rPr>
        <w:t xml:space="preserve"> </w:t>
      </w:r>
    </w:p>
    <w:p w:rsidR="008A5FAA" w:rsidRDefault="003007DA" w:rsidP="008A5FAA">
      <w:pPr>
        <w:pStyle w:val="NormalWeb"/>
        <w:spacing w:before="0" w:beforeAutospacing="0" w:after="0" w:afterAutospacing="0" w:line="480" w:lineRule="auto"/>
        <w:jc w:val="both"/>
        <w:rPr>
          <w:color w:val="1C1E29"/>
        </w:rPr>
      </w:pPr>
      <w:r>
        <w:rPr>
          <w:color w:val="1C1E29"/>
        </w:rPr>
        <w:tab/>
      </w:r>
      <w:r w:rsidR="008A5FAA">
        <w:rPr>
          <w:color w:val="1C1E29"/>
        </w:rPr>
        <w:t xml:space="preserve">This source shares valuable insights on the impacts of medication adherence. </w:t>
      </w:r>
      <w:r>
        <w:rPr>
          <w:color w:val="1C1E29"/>
        </w:rPr>
        <w:t>Certainly</w:t>
      </w:r>
      <w:r w:rsidR="008A5FAA">
        <w:rPr>
          <w:color w:val="1C1E29"/>
        </w:rPr>
        <w:t xml:space="preserve">, medication non-adherence might result in negative health outcomes. Medication non-adherence has substantial healthcare costs because of the increased utilization of healthcare. </w:t>
      </w:r>
      <w:r>
        <w:rPr>
          <w:color w:val="1C1E29"/>
        </w:rPr>
        <w:t>The</w:t>
      </w:r>
      <w:r w:rsidR="008A5FAA">
        <w:rPr>
          <w:color w:val="1C1E29"/>
        </w:rPr>
        <w:t xml:space="preserve"> patients have to bear the financial pressure that is passed from payers because of the copayments policy. The study invests significant efforts to explore the problem of medical non-adherence and the implications.</w:t>
      </w:r>
      <w:r>
        <w:rPr>
          <w:color w:val="1C1E29"/>
        </w:rPr>
        <w:t xml:space="preserve"> S</w:t>
      </w:r>
      <w:r w:rsidR="008A5FAA">
        <w:rPr>
          <w:color w:val="1C1E29"/>
        </w:rPr>
        <w:t>ome of the aspects that result in medical non-adherence include personal factors such as forgetfulness and also the high costs of drugs. It is sufficient to note that patients might be unable to engage in adherence such as clinical visits, checkups, and other requirements because of the expenditure which might resul</w:t>
      </w:r>
      <w:r>
        <w:rPr>
          <w:color w:val="1C1E29"/>
        </w:rPr>
        <w:t>t in negative health outcomes. The s</w:t>
      </w:r>
      <w:r w:rsidR="008A5FAA">
        <w:rPr>
          <w:color w:val="1C1E29"/>
        </w:rPr>
        <w:t xml:space="preserve">ystematic review is used as the methodology of the study, to investigate the impacts of medication non-adherence. The review describes the magnitude of non-adherence problem and also the costs with substantial discussion on the impacts that non-adherence brings. The findings of the study indicate that non-adherence tends to increase the medical expenditure for patients because of the over-utilization of healthcare and is rampant in terminal </w:t>
      </w:r>
      <w:r>
        <w:rPr>
          <w:color w:val="1C1E29"/>
        </w:rPr>
        <w:t>illnesses</w:t>
      </w:r>
      <w:r w:rsidR="008A5FAA">
        <w:rPr>
          <w:color w:val="1C1E29"/>
        </w:rPr>
        <w:t xml:space="preserve"> such as cancer, asthma, and cardiovascular disease, mental illness such as depression, diabetes</w:t>
      </w:r>
      <w:r w:rsidR="00F9609F">
        <w:rPr>
          <w:color w:val="1C1E29"/>
        </w:rPr>
        <w:t>,</w:t>
      </w:r>
      <w:r w:rsidR="008A5FAA">
        <w:rPr>
          <w:color w:val="1C1E29"/>
        </w:rPr>
        <w:t xml:space="preserve"> and HIV/AIDS. Furthermore, there are external factors that might determine adherence and cost in the healthcare system is a significant contributor to medication adherence. Notably, the costs make it difficult for individuals to adhere to prescriptions especially when they cannot afford the drugs and this </w:t>
      </w:r>
      <w:r w:rsidR="008A5FAA">
        <w:rPr>
          <w:color w:val="1C1E29"/>
        </w:rPr>
        <w:lastRenderedPageBreak/>
        <w:t>results in negative health outcomes. Adherence can be improved through patient education and value-based insurance designs. Future research should invest efforts to clarify the cost and also the impact of efforts aimed at enhancing patient adherence. The study has a weakness especially because it mainly depends on the retrospective observational studies.  </w:t>
      </w:r>
    </w:p>
    <w:p w:rsidR="008A5FAA" w:rsidRDefault="008A5FAA" w:rsidP="008A5FAA">
      <w:pPr>
        <w:pStyle w:val="NormalWeb"/>
        <w:spacing w:before="0" w:beforeAutospacing="0" w:after="0" w:afterAutospacing="0" w:line="480" w:lineRule="auto"/>
        <w:jc w:val="both"/>
        <w:rPr>
          <w:color w:val="1C1E29"/>
        </w:rPr>
      </w:pPr>
      <w:r>
        <w:rPr>
          <w:color w:val="1C1E29"/>
        </w:rPr>
        <w:t>Nekhlyudov, L., Walker, R., Ziebell, R., Rabin, B., Nutt, S., &amp; Chubak, J. (2015). Cancer survivors’ experiences with insurance, employment, and personal finances: Results from a multi-site study.</w:t>
      </w:r>
    </w:p>
    <w:p w:rsidR="008A5FAA" w:rsidRDefault="003007DA" w:rsidP="008A5FAA">
      <w:pPr>
        <w:pStyle w:val="NormalWeb"/>
        <w:spacing w:before="0" w:beforeAutospacing="0" w:after="0" w:afterAutospacing="0" w:line="480" w:lineRule="auto"/>
        <w:jc w:val="both"/>
        <w:rPr>
          <w:color w:val="1C1E29"/>
        </w:rPr>
      </w:pPr>
      <w:r>
        <w:rPr>
          <w:color w:val="1C1E29"/>
        </w:rPr>
        <w:tab/>
      </w:r>
      <w:r w:rsidR="008A5FAA">
        <w:rPr>
          <w:color w:val="1C1E29"/>
        </w:rPr>
        <w:t xml:space="preserve">Terminal illness has a significant financial burden on patients. It is sufficient to note that the increased healthcare costs are the sole reason for the financial struggles experienced by most with those with a terminal illness. The source shares valuable insights on both the economic burdens and also other societal impacts that patients experience. The purpose of the study is to investigate the general wellbeing of cancer patients, especially how it impacts the </w:t>
      </w:r>
      <w:r w:rsidR="00D20640">
        <w:rPr>
          <w:color w:val="1C1E29"/>
        </w:rPr>
        <w:t>diverse facets of their lives. The s</w:t>
      </w:r>
      <w:r w:rsidR="008A5FAA">
        <w:rPr>
          <w:color w:val="1C1E29"/>
        </w:rPr>
        <w:t xml:space="preserve">urvey is used as the methodology of the study. Cancer Survivorship Supplement in three states in the United States was used, that is, Massachusetts, Colorado, and Washington in 2013. A cohort of cancer survivors was surveyed, and the stratified who included those with breast, lung, prostate and colorectal cancer was used. From the study, it is evident that out of the total 615 respondents, 590 reported having insurance coverage during their diagnosis and some explained the barriers that they experienced especially with regards to visiting the facilities of their choice. Secondly, almost half of the respondents reported that they had to remain employed even against their will because of the concerns that they might lose their coverage. There is a need to identify the ways of supporting survivors and provide resources to avoid financial risks and also the occupational impacts of cancer. The results of the study also indicate some of the patients were compelled to make changes in their employment such as work </w:t>
      </w:r>
      <w:r w:rsidR="008A5FAA">
        <w:rPr>
          <w:color w:val="1C1E29"/>
        </w:rPr>
        <w:lastRenderedPageBreak/>
        <w:t>part-time or sometimes take unpaid leave that reduces their income. Subjective bias is among the weakness of the study since the study results mainly depend on reporting from individuals.</w:t>
      </w:r>
    </w:p>
    <w:p w:rsidR="008A5FAA" w:rsidRDefault="008A5FAA" w:rsidP="008A5FAA">
      <w:pPr>
        <w:pStyle w:val="NormalWeb"/>
        <w:spacing w:before="0" w:beforeAutospacing="0" w:after="0" w:afterAutospacing="0" w:line="480" w:lineRule="auto"/>
        <w:jc w:val="both"/>
        <w:rPr>
          <w:color w:val="1C1E29"/>
        </w:rPr>
      </w:pPr>
      <w:r>
        <w:rPr>
          <w:color w:val="1C1E29"/>
        </w:rPr>
        <w:t>Nunes, C., Pereira, A. M., &amp; Morais-Almeida, M. (2017). Asthma costs and social impact. </w:t>
      </w:r>
      <w:r>
        <w:rPr>
          <w:rStyle w:val="Emphasis"/>
          <w:color w:val="1C1E29"/>
        </w:rPr>
        <w:t>Asthma research and practice</w:t>
      </w:r>
      <w:r>
        <w:rPr>
          <w:color w:val="1C1E29"/>
        </w:rPr>
        <w:t>, </w:t>
      </w:r>
      <w:r>
        <w:rPr>
          <w:rStyle w:val="Emphasis"/>
          <w:color w:val="1C1E29"/>
        </w:rPr>
        <w:t>3</w:t>
      </w:r>
      <w:r>
        <w:rPr>
          <w:color w:val="1C1E29"/>
        </w:rPr>
        <w:t>(1), 1.</w:t>
      </w:r>
      <w:r w:rsidR="00EC6249" w:rsidRPr="00EC6249">
        <w:t xml:space="preserve"> </w:t>
      </w:r>
      <w:r w:rsidR="00EC6249" w:rsidRPr="00EC6249">
        <w:rPr>
          <w:color w:val="1C1E29"/>
        </w:rPr>
        <w:t>https://link.springer.com/article/10.1186/s40733-016-0029-3</w:t>
      </w:r>
      <w:r w:rsidR="00EC6249">
        <w:rPr>
          <w:color w:val="1C1E29"/>
        </w:rPr>
        <w:t xml:space="preserve"> </w:t>
      </w:r>
    </w:p>
    <w:p w:rsidR="008A5FAA" w:rsidRDefault="00D20640" w:rsidP="008A5FAA">
      <w:pPr>
        <w:pStyle w:val="NormalWeb"/>
        <w:spacing w:before="0" w:beforeAutospacing="0" w:after="0" w:afterAutospacing="0" w:line="480" w:lineRule="auto"/>
        <w:jc w:val="both"/>
        <w:rPr>
          <w:color w:val="1C1E29"/>
        </w:rPr>
      </w:pPr>
      <w:r>
        <w:rPr>
          <w:color w:val="1C1E29"/>
        </w:rPr>
        <w:tab/>
      </w:r>
      <w:r w:rsidR="008A5FAA">
        <w:rPr>
          <w:color w:val="1C1E29"/>
        </w:rPr>
        <w:t>Asthma represents is a lifelong condition that has substantial social and economic impacts.</w:t>
      </w:r>
      <w:r>
        <w:rPr>
          <w:color w:val="1C1E29"/>
        </w:rPr>
        <w:t xml:space="preserve"> M</w:t>
      </w:r>
      <w:r w:rsidR="008A5FAA">
        <w:rPr>
          <w:color w:val="1C1E29"/>
        </w:rPr>
        <w:t>ost of the patients have to undergo financially constrains especially in seeking the necessary treatment. Increased healthcare costs make it difficult for individuals to afford emergency care treatment which is required frequently by Asthma patients. The purpose of the study is to demonstrate the negative social impacts of asthma especially</w:t>
      </w:r>
      <w:r>
        <w:rPr>
          <w:color w:val="1C1E29"/>
        </w:rPr>
        <w:t xml:space="preserve"> on the wellbeing of patients. Moreover</w:t>
      </w:r>
      <w:r w:rsidR="008A5FAA">
        <w:rPr>
          <w:color w:val="1C1E29"/>
        </w:rPr>
        <w:t>, this is true for patients as they might be unable to see</w:t>
      </w:r>
      <w:r>
        <w:rPr>
          <w:color w:val="1C1E29"/>
        </w:rPr>
        <w:t>k appropriate medical redress. The s</w:t>
      </w:r>
      <w:r w:rsidR="008A5FAA">
        <w:rPr>
          <w:color w:val="1C1E29"/>
        </w:rPr>
        <w:t xml:space="preserve">ystematic review methodology is used to unearth the impacts of asthma especially for low-income communities where it is not possible to get the necessary medical attention. The findings of the study indicate direct costs such as hospital admissions, emergency services, and medications. Consequently, in most countries, diseases like asthma are not priorities in the healthcare system and thus might result in limited access to stable and preventive care because of inadequate human resources and even medications. Therefore, most of the asthmatic patients are forced to treat their conditions exclusively which might involve emergency services. Indirect costs include the costs related to work, temporary or early disability. Often, asthmatic patients especially those who come from low-income families might experience a partial loss of productivity because patients are unable to continue working full-time. In extreme cases incapacity to produce might results in some of the patients being retrenched and thus becoming an early retirement for those with asthmatic conditions. Future study should focus on a </w:t>
      </w:r>
      <w:r w:rsidR="008A5FAA">
        <w:rPr>
          <w:color w:val="1C1E29"/>
        </w:rPr>
        <w:lastRenderedPageBreak/>
        <w:t>comprehensive data collection to enhance more holistic management regarding the magnitude of the issue especially taking into consideration that most of the patients are unable to afford all the medical requirements to comfortably contain the disability that might emanate from being asthmatic.</w:t>
      </w:r>
    </w:p>
    <w:p w:rsidR="008A5FAA" w:rsidRDefault="008A5FAA" w:rsidP="008A5FAA">
      <w:pPr>
        <w:pStyle w:val="NormalWeb"/>
        <w:spacing w:before="0" w:beforeAutospacing="0" w:after="0" w:afterAutospacing="0" w:line="480" w:lineRule="auto"/>
        <w:jc w:val="both"/>
        <w:rPr>
          <w:color w:val="1C1E29"/>
        </w:rPr>
      </w:pPr>
      <w:r>
        <w:rPr>
          <w:color w:val="1C1E29"/>
        </w:rPr>
        <w:t>Yabroff, K. R., Dowling, E. C., Guy Jr, G. P., Banegas, M. P., Davidoff, A., Han, X., ... &amp; Kent, E. E. (2016). Financial hardship associated with cancer in the United States: findings from a population-based sample of adult cancer survivors. </w:t>
      </w:r>
      <w:r>
        <w:rPr>
          <w:rStyle w:val="Emphasis"/>
          <w:color w:val="1C1E29"/>
        </w:rPr>
        <w:t>Journal of Clinical Oncology</w:t>
      </w:r>
      <w:r>
        <w:rPr>
          <w:color w:val="1C1E29"/>
        </w:rPr>
        <w:t>, </w:t>
      </w:r>
      <w:r>
        <w:rPr>
          <w:rStyle w:val="Emphasis"/>
          <w:color w:val="1C1E29"/>
        </w:rPr>
        <w:t>34</w:t>
      </w:r>
      <w:r>
        <w:rPr>
          <w:color w:val="1C1E29"/>
        </w:rPr>
        <w:t>(3), 259.</w:t>
      </w:r>
    </w:p>
    <w:p w:rsidR="008A5FAA" w:rsidRDefault="00EC6249" w:rsidP="008A5FAA">
      <w:pPr>
        <w:pStyle w:val="NormalWeb"/>
        <w:spacing w:before="0" w:beforeAutospacing="0" w:after="0" w:afterAutospacing="0" w:line="480" w:lineRule="auto"/>
        <w:jc w:val="both"/>
        <w:rPr>
          <w:color w:val="1C1E29"/>
        </w:rPr>
      </w:pPr>
      <w:r>
        <w:rPr>
          <w:color w:val="1C1E29"/>
        </w:rPr>
        <w:tab/>
      </w:r>
      <w:r w:rsidR="008A5FAA">
        <w:rPr>
          <w:color w:val="1C1E29"/>
        </w:rPr>
        <w:t>The rising cost of healthcare is attributed to financial hardships for patients and their families. The source invests significant efforts to study patients who reported incurring debts in a bid to seek treatment for cancer. The purpose of the study is to estimate the financial hardship associated with cancer in the United States and also highlight the characteristics of cancer survivors in the United States. The sample of the study was selected from the 2011 Medical E</w:t>
      </w:r>
      <w:r>
        <w:rPr>
          <w:color w:val="1C1E29"/>
        </w:rPr>
        <w:t xml:space="preserve">xpenditure Panel Survey (MEPS). </w:t>
      </w:r>
      <w:r w:rsidR="008A5FAA">
        <w:rPr>
          <w:color w:val="1C1E29"/>
        </w:rPr>
        <w:t xml:space="preserve">Questionnaires war an instrument for data collection. Participants who confirmed the cancer diagnosis or treatment and with more than 18 years of age were eligible to participate in the survey. Sample characteristics included age, sex, race, marital status and educational level and also family income as a percentage of the federal poverty level. Markedly, the study measured the financial hardship that patients had to undergo as a material or as psychological hardships. Material aspects that indicated financial difficulties included going into debt, filing for bankruptcy, inability to cover the share of medical costs and other financial sacrifices because of cancer. The findings of the study indicate that more than half of the cancer patients were either 65 or older. Additionally, most of the survivors were non-Hispanic, married and had private insurance. Overall 20.4% of participants reported having material financial difficulties especially going into debts as they were unable to service their part of medical costs. </w:t>
      </w:r>
      <w:r w:rsidR="008A5FAA">
        <w:rPr>
          <w:color w:val="1C1E29"/>
        </w:rPr>
        <w:lastRenderedPageBreak/>
        <w:t xml:space="preserve">Moreover, about one-quarter of survivors reported having psychological difficulties especially being worried about the medical bills that they might be unable to offset. </w:t>
      </w:r>
      <w:r>
        <w:rPr>
          <w:color w:val="1C1E29"/>
        </w:rPr>
        <w:t>M</w:t>
      </w:r>
      <w:r w:rsidR="008A5FAA">
        <w:rPr>
          <w:color w:val="1C1E29"/>
        </w:rPr>
        <w:t>ost cancer patients especially those with out-of-pocket costs have a higher likelihood of undergo</w:t>
      </w:r>
      <w:r>
        <w:rPr>
          <w:color w:val="1C1E29"/>
        </w:rPr>
        <w:t>ing</w:t>
      </w:r>
      <w:r w:rsidR="008A5FAA">
        <w:rPr>
          <w:color w:val="1C1E29"/>
        </w:rPr>
        <w:t xml:space="preserve"> material financial hardships and also forego or delay medical care. One of the limitations of the study is the low sample size. The study did not have a large sample size to effectively evaluate the financial hardship by cancer site and time since their last diagnosis.</w:t>
      </w:r>
    </w:p>
    <w:p w:rsidR="008A5FAA" w:rsidRDefault="008A5FAA" w:rsidP="008A5FAA">
      <w:pPr>
        <w:pStyle w:val="NormalWeb"/>
        <w:spacing w:before="0" w:beforeAutospacing="0" w:after="0" w:afterAutospacing="0" w:line="480" w:lineRule="auto"/>
        <w:jc w:val="both"/>
        <w:rPr>
          <w:color w:val="1C1E29"/>
        </w:rPr>
      </w:pPr>
    </w:p>
    <w:p w:rsidR="00AE352E" w:rsidRDefault="00AE352E" w:rsidP="008A5FAA">
      <w:pPr>
        <w:spacing w:line="480" w:lineRule="auto"/>
        <w:jc w:val="both"/>
      </w:pPr>
    </w:p>
    <w:p w:rsidR="00B34F87" w:rsidRDefault="00B34F87" w:rsidP="008A5FAA">
      <w:pPr>
        <w:spacing w:line="480" w:lineRule="auto"/>
        <w:jc w:val="both"/>
      </w:pPr>
    </w:p>
    <w:p w:rsidR="00B34F87" w:rsidRDefault="00B34F87" w:rsidP="008A5FAA">
      <w:pPr>
        <w:spacing w:line="480" w:lineRule="auto"/>
        <w:jc w:val="both"/>
      </w:pPr>
    </w:p>
    <w:p w:rsidR="00B34F87" w:rsidRDefault="00B34F87" w:rsidP="008A5FAA">
      <w:pPr>
        <w:spacing w:line="480" w:lineRule="auto"/>
        <w:jc w:val="both"/>
      </w:pPr>
    </w:p>
    <w:p w:rsidR="00B34F87" w:rsidRDefault="00B34F87" w:rsidP="008A5FAA">
      <w:pPr>
        <w:spacing w:line="480" w:lineRule="auto"/>
        <w:jc w:val="both"/>
      </w:pPr>
    </w:p>
    <w:p w:rsidR="00B34F87" w:rsidRDefault="00B34F87" w:rsidP="008A5FAA">
      <w:pPr>
        <w:spacing w:line="480" w:lineRule="auto"/>
        <w:jc w:val="both"/>
      </w:pPr>
    </w:p>
    <w:p w:rsidR="00B34F87" w:rsidRDefault="00B34F87" w:rsidP="008A5FAA">
      <w:pPr>
        <w:spacing w:line="480" w:lineRule="auto"/>
        <w:jc w:val="both"/>
      </w:pPr>
    </w:p>
    <w:p w:rsidR="00B34F87" w:rsidRDefault="00B34F87" w:rsidP="008A5FAA">
      <w:pPr>
        <w:spacing w:line="480" w:lineRule="auto"/>
        <w:jc w:val="both"/>
      </w:pPr>
    </w:p>
    <w:p w:rsidR="00B34F87" w:rsidRDefault="00B34F87" w:rsidP="008A5FAA">
      <w:pPr>
        <w:spacing w:line="480" w:lineRule="auto"/>
        <w:jc w:val="both"/>
      </w:pPr>
    </w:p>
    <w:p w:rsidR="00B34F87" w:rsidRDefault="00B34F87" w:rsidP="008A5FAA">
      <w:pPr>
        <w:spacing w:line="480" w:lineRule="auto"/>
        <w:jc w:val="both"/>
      </w:pPr>
    </w:p>
    <w:p w:rsidR="00B34F87" w:rsidRDefault="00B34F87" w:rsidP="008A5FAA">
      <w:pPr>
        <w:spacing w:line="480" w:lineRule="auto"/>
        <w:jc w:val="both"/>
      </w:pPr>
    </w:p>
    <w:p w:rsidR="00B34F87" w:rsidRDefault="00B34F87" w:rsidP="008A5FAA">
      <w:pPr>
        <w:spacing w:line="480" w:lineRule="auto"/>
        <w:jc w:val="both"/>
      </w:pPr>
    </w:p>
    <w:p w:rsidR="00EC6249" w:rsidRPr="00B34F87" w:rsidRDefault="00EC6249" w:rsidP="00B34F87">
      <w:pPr>
        <w:spacing w:line="480" w:lineRule="auto"/>
        <w:jc w:val="center"/>
        <w:rPr>
          <w:rFonts w:ascii="Times New Roman" w:hAnsi="Times New Roman" w:cs="Times New Roman"/>
          <w:sz w:val="24"/>
          <w:szCs w:val="24"/>
        </w:rPr>
      </w:pPr>
      <w:r w:rsidRPr="00B34F87">
        <w:rPr>
          <w:rFonts w:ascii="Times New Roman" w:hAnsi="Times New Roman" w:cs="Times New Roman"/>
          <w:sz w:val="24"/>
          <w:szCs w:val="24"/>
        </w:rPr>
        <w:lastRenderedPageBreak/>
        <w:t>Bibliography</w:t>
      </w:r>
    </w:p>
    <w:p w:rsidR="008F5C22" w:rsidRPr="00B34F87" w:rsidRDefault="008F5C22" w:rsidP="00B34F87">
      <w:pPr>
        <w:pStyle w:val="NormalWeb"/>
        <w:spacing w:before="0" w:beforeAutospacing="0" w:after="0" w:afterAutospacing="0" w:line="480" w:lineRule="auto"/>
        <w:ind w:left="720" w:hanging="720"/>
        <w:jc w:val="both"/>
        <w:rPr>
          <w:color w:val="1C1E29"/>
        </w:rPr>
      </w:pPr>
      <w:r w:rsidRPr="00B34F87">
        <w:rPr>
          <w:color w:val="1C1E29"/>
        </w:rPr>
        <w:t>Banegas, M. P., Guy Jr, G. P., de Moor, J. S., Ekwueme, D. U., Virgo, K. S., Kent, E. E., ... &amp; Yabroff, K. R. (2016). For working-age cancer survivors, medical debt and bankruptcy create financial hardships. </w:t>
      </w:r>
      <w:r w:rsidRPr="00B34F87">
        <w:rPr>
          <w:rStyle w:val="Emphasis"/>
          <w:color w:val="1C1E29"/>
        </w:rPr>
        <w:t>Health Affairs</w:t>
      </w:r>
      <w:r w:rsidRPr="00B34F87">
        <w:rPr>
          <w:color w:val="1C1E29"/>
        </w:rPr>
        <w:t>, </w:t>
      </w:r>
      <w:r w:rsidRPr="00B34F87">
        <w:rPr>
          <w:rStyle w:val="Emphasis"/>
          <w:color w:val="1C1E29"/>
        </w:rPr>
        <w:t>35</w:t>
      </w:r>
      <w:r w:rsidRPr="00B34F87">
        <w:rPr>
          <w:color w:val="1C1E29"/>
        </w:rPr>
        <w:t>(1), 54-61.</w:t>
      </w:r>
    </w:p>
    <w:p w:rsidR="008F5C22" w:rsidRPr="00B34F87" w:rsidRDefault="008F5C22" w:rsidP="00B34F87">
      <w:pPr>
        <w:pStyle w:val="NormalWeb"/>
        <w:spacing w:before="0" w:beforeAutospacing="0" w:after="0" w:afterAutospacing="0" w:line="480" w:lineRule="auto"/>
        <w:ind w:left="720" w:hanging="720"/>
        <w:jc w:val="both"/>
        <w:rPr>
          <w:color w:val="1C1E29"/>
        </w:rPr>
      </w:pPr>
      <w:r w:rsidRPr="00B34F87">
        <w:rPr>
          <w:color w:val="1C1E29"/>
        </w:rPr>
        <w:t>Iuga, A. O., &amp; McGuire, M. J. (2014). Adherence and health care costs. </w:t>
      </w:r>
      <w:r w:rsidRPr="00B34F87">
        <w:rPr>
          <w:rStyle w:val="Emphasis"/>
          <w:color w:val="1C1E29"/>
        </w:rPr>
        <w:t>Risk management and healthcare policy</w:t>
      </w:r>
      <w:r w:rsidRPr="00B34F87">
        <w:rPr>
          <w:color w:val="1C1E29"/>
        </w:rPr>
        <w:t>, </w:t>
      </w:r>
      <w:r w:rsidRPr="00B34F87">
        <w:rPr>
          <w:rStyle w:val="Emphasis"/>
          <w:color w:val="1C1E29"/>
        </w:rPr>
        <w:t>7</w:t>
      </w:r>
      <w:r w:rsidRPr="00B34F87">
        <w:rPr>
          <w:color w:val="1C1E29"/>
        </w:rPr>
        <w:t>, 35.</w:t>
      </w:r>
      <w:r w:rsidRPr="00B34F87">
        <w:t xml:space="preserve"> </w:t>
      </w:r>
      <w:r w:rsidRPr="00B34F87">
        <w:rPr>
          <w:color w:val="1C1E29"/>
        </w:rPr>
        <w:t xml:space="preserve">https://www.ncbi.nlm.nih.gov/pmc/articles/PMC3934668/ </w:t>
      </w:r>
    </w:p>
    <w:p w:rsidR="008F5C22" w:rsidRPr="00B34F87" w:rsidRDefault="008F5C22" w:rsidP="00B34F87">
      <w:pPr>
        <w:pStyle w:val="NormalWeb"/>
        <w:spacing w:before="0" w:beforeAutospacing="0" w:after="0" w:afterAutospacing="0" w:line="480" w:lineRule="auto"/>
        <w:ind w:left="720" w:hanging="720"/>
        <w:jc w:val="both"/>
        <w:rPr>
          <w:color w:val="1C1E29"/>
        </w:rPr>
      </w:pPr>
      <w:r w:rsidRPr="00B34F87">
        <w:rPr>
          <w:color w:val="1C1E29"/>
        </w:rPr>
        <w:t>Nekhlyudov, L., Walker, R., Ziebell, R., Rabin, B., Nutt, S., &amp; Chubak, J. (2015). Cancer survivors’ experiences with insurance, employment, and personal finances: Results from a multi-site study.</w:t>
      </w:r>
    </w:p>
    <w:p w:rsidR="00B34F87" w:rsidRPr="00B34F87" w:rsidRDefault="00B34F87" w:rsidP="00B34F87">
      <w:pPr>
        <w:pStyle w:val="NormalWeb"/>
        <w:spacing w:before="0" w:beforeAutospacing="0" w:after="0" w:afterAutospacing="0" w:line="480" w:lineRule="auto"/>
        <w:ind w:left="720" w:hanging="720"/>
        <w:jc w:val="both"/>
        <w:rPr>
          <w:color w:val="1C1E29"/>
        </w:rPr>
      </w:pPr>
      <w:r w:rsidRPr="00B34F87">
        <w:rPr>
          <w:color w:val="1C1E29"/>
        </w:rPr>
        <w:t>Nunes, C., Pereira, A. M., &amp; Morais-Almeida, M. (2017). Asthma costs and social impact. </w:t>
      </w:r>
      <w:r w:rsidRPr="00B34F87">
        <w:rPr>
          <w:rStyle w:val="Emphasis"/>
          <w:color w:val="1C1E29"/>
        </w:rPr>
        <w:t>Asthma research and practice</w:t>
      </w:r>
      <w:r w:rsidRPr="00B34F87">
        <w:rPr>
          <w:color w:val="1C1E29"/>
        </w:rPr>
        <w:t>, </w:t>
      </w:r>
      <w:r w:rsidRPr="00B34F87">
        <w:rPr>
          <w:rStyle w:val="Emphasis"/>
          <w:color w:val="1C1E29"/>
        </w:rPr>
        <w:t>3</w:t>
      </w:r>
      <w:r w:rsidRPr="00B34F87">
        <w:rPr>
          <w:color w:val="1C1E29"/>
        </w:rPr>
        <w:t>(1), 1.</w:t>
      </w:r>
      <w:r w:rsidRPr="00B34F87">
        <w:t xml:space="preserve"> </w:t>
      </w:r>
      <w:r w:rsidRPr="00B34F87">
        <w:rPr>
          <w:color w:val="1C1E29"/>
        </w:rPr>
        <w:t xml:space="preserve">https://link.springer.com/article/10.1186/s40733-016-0029-3 </w:t>
      </w:r>
    </w:p>
    <w:p w:rsidR="008F5C22" w:rsidRPr="00B34F87" w:rsidRDefault="008F5C22" w:rsidP="00B34F87">
      <w:pPr>
        <w:pStyle w:val="NormalWeb"/>
        <w:spacing w:before="0" w:beforeAutospacing="0" w:after="0" w:afterAutospacing="0" w:line="480" w:lineRule="auto"/>
        <w:ind w:left="720" w:hanging="720"/>
        <w:jc w:val="both"/>
        <w:rPr>
          <w:color w:val="1C1E29"/>
        </w:rPr>
      </w:pPr>
      <w:r w:rsidRPr="00B34F87">
        <w:rPr>
          <w:color w:val="1C1E29"/>
        </w:rPr>
        <w:t>Yabroff, K. R., Dowling, E. C., Guy Jr, G. P., Banegas, M. P., Davidoff, A., Han, X., ... &amp; Kent, E. E. (2016). Financial hardship associated with cancer in the United States: findings from a population-based sample of adult cancer survivors. </w:t>
      </w:r>
      <w:r w:rsidRPr="00B34F87">
        <w:rPr>
          <w:rStyle w:val="Emphasis"/>
          <w:color w:val="1C1E29"/>
        </w:rPr>
        <w:t>Journal of Clinical Oncology</w:t>
      </w:r>
      <w:r w:rsidRPr="00B34F87">
        <w:rPr>
          <w:color w:val="1C1E29"/>
        </w:rPr>
        <w:t>, </w:t>
      </w:r>
      <w:r w:rsidRPr="00B34F87">
        <w:rPr>
          <w:rStyle w:val="Emphasis"/>
          <w:color w:val="1C1E29"/>
        </w:rPr>
        <w:t>34</w:t>
      </w:r>
      <w:r w:rsidRPr="00B34F87">
        <w:rPr>
          <w:color w:val="1C1E29"/>
        </w:rPr>
        <w:t>(3), 259.</w:t>
      </w:r>
    </w:p>
    <w:p w:rsidR="008F5C22" w:rsidRDefault="008F5C22" w:rsidP="008A5FAA">
      <w:pPr>
        <w:spacing w:line="480" w:lineRule="auto"/>
        <w:jc w:val="both"/>
      </w:pPr>
    </w:p>
    <w:sectPr w:rsidR="008F5C22" w:rsidSect="009249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0D24" w:rsidRDefault="00040D24" w:rsidP="00022B86">
      <w:pPr>
        <w:spacing w:after="0" w:line="240" w:lineRule="auto"/>
      </w:pPr>
      <w:r>
        <w:separator/>
      </w:r>
    </w:p>
  </w:endnote>
  <w:endnote w:type="continuationSeparator" w:id="1">
    <w:p w:rsidR="00040D24" w:rsidRDefault="00040D24" w:rsidP="00022B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0D24" w:rsidRDefault="00040D24" w:rsidP="00022B86">
      <w:pPr>
        <w:spacing w:after="0" w:line="240" w:lineRule="auto"/>
      </w:pPr>
      <w:r>
        <w:separator/>
      </w:r>
    </w:p>
  </w:footnote>
  <w:footnote w:type="continuationSeparator" w:id="1">
    <w:p w:rsidR="00040D24" w:rsidRDefault="00040D24" w:rsidP="00022B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453194"/>
      <w:docPartObj>
        <w:docPartGallery w:val="Page Numbers (Top of Page)"/>
        <w:docPartUnique/>
      </w:docPartObj>
    </w:sdtPr>
    <w:sdtContent>
      <w:p w:rsidR="008A5FAA" w:rsidRPr="0092497B" w:rsidRDefault="0092497B">
        <w:pPr>
          <w:pStyle w:val="Header"/>
          <w:rPr>
            <w:rFonts w:ascii="Times New Roman" w:hAnsi="Times New Roman" w:cs="Times New Roman"/>
            <w:sz w:val="24"/>
            <w:szCs w:val="24"/>
          </w:rPr>
        </w:pPr>
        <w:r w:rsidRPr="0092497B">
          <w:rPr>
            <w:rFonts w:ascii="Times New Roman" w:hAnsi="Times New Roman" w:cs="Times New Roman"/>
            <w:sz w:val="24"/>
            <w:szCs w:val="24"/>
          </w:rPr>
          <w:t>ANNOTATED BIBLIOGRAPHY</w:t>
        </w:r>
        <w:r w:rsidRPr="0092497B">
          <w:rPr>
            <w:rFonts w:ascii="Times New Roman" w:hAnsi="Times New Roman" w:cs="Times New Roman"/>
            <w:sz w:val="24"/>
            <w:szCs w:val="24"/>
          </w:rPr>
          <w:tab/>
        </w:r>
        <w:r w:rsidRPr="0092497B">
          <w:rPr>
            <w:rFonts w:ascii="Times New Roman" w:hAnsi="Times New Roman" w:cs="Times New Roman"/>
            <w:sz w:val="24"/>
            <w:szCs w:val="24"/>
          </w:rPr>
          <w:tab/>
        </w:r>
        <w:r w:rsidRPr="0092497B">
          <w:rPr>
            <w:rFonts w:ascii="Times New Roman" w:hAnsi="Times New Roman" w:cs="Times New Roman"/>
            <w:sz w:val="24"/>
            <w:szCs w:val="24"/>
          </w:rPr>
          <w:fldChar w:fldCharType="begin"/>
        </w:r>
        <w:r w:rsidRPr="0092497B">
          <w:rPr>
            <w:rFonts w:ascii="Times New Roman" w:hAnsi="Times New Roman" w:cs="Times New Roman"/>
            <w:sz w:val="24"/>
            <w:szCs w:val="24"/>
          </w:rPr>
          <w:instrText xml:space="preserve"> PAGE   \* MERGEFORMAT </w:instrText>
        </w:r>
        <w:r w:rsidRPr="0092497B">
          <w:rPr>
            <w:rFonts w:ascii="Times New Roman" w:hAnsi="Times New Roman" w:cs="Times New Roman"/>
            <w:sz w:val="24"/>
            <w:szCs w:val="24"/>
          </w:rPr>
          <w:fldChar w:fldCharType="separate"/>
        </w:r>
        <w:r w:rsidR="00B34F87">
          <w:rPr>
            <w:rFonts w:ascii="Times New Roman" w:hAnsi="Times New Roman" w:cs="Times New Roman"/>
            <w:noProof/>
            <w:sz w:val="24"/>
            <w:szCs w:val="24"/>
          </w:rPr>
          <w:t>2</w:t>
        </w:r>
        <w:r w:rsidRPr="0092497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B86" w:rsidRPr="0092497B" w:rsidRDefault="0092497B" w:rsidP="0092497B">
    <w:pPr>
      <w:pStyle w:val="Header"/>
      <w:jc w:val="right"/>
      <w:rPr>
        <w:rFonts w:ascii="Times New Roman" w:hAnsi="Times New Roman" w:cs="Times New Roman"/>
        <w:sz w:val="24"/>
        <w:szCs w:val="24"/>
      </w:rPr>
    </w:pPr>
    <w:r w:rsidRPr="0092497B">
      <w:rPr>
        <w:rFonts w:ascii="Times New Roman" w:hAnsi="Times New Roman" w:cs="Times New Roman"/>
        <w:sz w:val="24"/>
        <w:szCs w:val="24"/>
      </w:rPr>
      <w:t xml:space="preserve">Running head: ANNOTATED BIBLIOGRAPHY </w:t>
    </w:r>
    <w:r w:rsidRPr="0092497B">
      <w:rPr>
        <w:rFonts w:ascii="Times New Roman" w:hAnsi="Times New Roman" w:cs="Times New Roman"/>
        <w:sz w:val="24"/>
        <w:szCs w:val="24"/>
      </w:rPr>
      <w:tab/>
    </w:r>
    <w:sdt>
      <w:sdtPr>
        <w:rPr>
          <w:rFonts w:ascii="Times New Roman" w:hAnsi="Times New Roman" w:cs="Times New Roman"/>
          <w:sz w:val="24"/>
          <w:szCs w:val="24"/>
        </w:rPr>
        <w:id w:val="3453150"/>
        <w:docPartObj>
          <w:docPartGallery w:val="Page Numbers (Top of Page)"/>
          <w:docPartUnique/>
        </w:docPartObj>
      </w:sdtPr>
      <w:sdtContent>
        <w:r w:rsidRPr="0092497B">
          <w:rPr>
            <w:rFonts w:ascii="Times New Roman" w:hAnsi="Times New Roman" w:cs="Times New Roman"/>
            <w:sz w:val="24"/>
            <w:szCs w:val="24"/>
          </w:rPr>
          <w:fldChar w:fldCharType="begin"/>
        </w:r>
        <w:r w:rsidRPr="0092497B">
          <w:rPr>
            <w:rFonts w:ascii="Times New Roman" w:hAnsi="Times New Roman" w:cs="Times New Roman"/>
            <w:sz w:val="24"/>
            <w:szCs w:val="24"/>
          </w:rPr>
          <w:instrText xml:space="preserve"> PAGE   \* MERGEFORMAT </w:instrText>
        </w:r>
        <w:r w:rsidRPr="0092497B">
          <w:rPr>
            <w:rFonts w:ascii="Times New Roman" w:hAnsi="Times New Roman" w:cs="Times New Roman"/>
            <w:sz w:val="24"/>
            <w:szCs w:val="24"/>
          </w:rPr>
          <w:fldChar w:fldCharType="separate"/>
        </w:r>
        <w:r w:rsidR="00B34F87">
          <w:rPr>
            <w:rFonts w:ascii="Times New Roman" w:hAnsi="Times New Roman" w:cs="Times New Roman"/>
            <w:noProof/>
            <w:sz w:val="24"/>
            <w:szCs w:val="24"/>
          </w:rPr>
          <w:t>1</w:t>
        </w:r>
        <w:r w:rsidRPr="0092497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D08C7"/>
    <w:rsid w:val="00022B86"/>
    <w:rsid w:val="00040D24"/>
    <w:rsid w:val="00042473"/>
    <w:rsid w:val="00055CF2"/>
    <w:rsid w:val="00063C4C"/>
    <w:rsid w:val="00077516"/>
    <w:rsid w:val="000961A3"/>
    <w:rsid w:val="000A76AB"/>
    <w:rsid w:val="000B36A6"/>
    <w:rsid w:val="000C3C23"/>
    <w:rsid w:val="000C4400"/>
    <w:rsid w:val="000C7513"/>
    <w:rsid w:val="000D08C7"/>
    <w:rsid w:val="000E1B5D"/>
    <w:rsid w:val="00143034"/>
    <w:rsid w:val="00155BEA"/>
    <w:rsid w:val="00164721"/>
    <w:rsid w:val="001745C4"/>
    <w:rsid w:val="001D2FCD"/>
    <w:rsid w:val="001E574F"/>
    <w:rsid w:val="002115DE"/>
    <w:rsid w:val="00215F7A"/>
    <w:rsid w:val="00242A21"/>
    <w:rsid w:val="002511F0"/>
    <w:rsid w:val="00293F72"/>
    <w:rsid w:val="002A249A"/>
    <w:rsid w:val="003007DA"/>
    <w:rsid w:val="00334056"/>
    <w:rsid w:val="00345836"/>
    <w:rsid w:val="003738F3"/>
    <w:rsid w:val="003A1321"/>
    <w:rsid w:val="003F545F"/>
    <w:rsid w:val="00440509"/>
    <w:rsid w:val="00466D6B"/>
    <w:rsid w:val="00473CC5"/>
    <w:rsid w:val="00495F96"/>
    <w:rsid w:val="004D102D"/>
    <w:rsid w:val="005044ED"/>
    <w:rsid w:val="00511DF9"/>
    <w:rsid w:val="005227E4"/>
    <w:rsid w:val="00527282"/>
    <w:rsid w:val="00545902"/>
    <w:rsid w:val="00584D5C"/>
    <w:rsid w:val="005A4041"/>
    <w:rsid w:val="005C6950"/>
    <w:rsid w:val="00602BAC"/>
    <w:rsid w:val="006170B4"/>
    <w:rsid w:val="00617E8C"/>
    <w:rsid w:val="006868A0"/>
    <w:rsid w:val="006B5161"/>
    <w:rsid w:val="006D0B27"/>
    <w:rsid w:val="006F152E"/>
    <w:rsid w:val="006F1DB0"/>
    <w:rsid w:val="006F4C58"/>
    <w:rsid w:val="007340CE"/>
    <w:rsid w:val="007448B0"/>
    <w:rsid w:val="0078029F"/>
    <w:rsid w:val="007808CC"/>
    <w:rsid w:val="007A10BA"/>
    <w:rsid w:val="007E12BB"/>
    <w:rsid w:val="007F272D"/>
    <w:rsid w:val="008007B0"/>
    <w:rsid w:val="00884B66"/>
    <w:rsid w:val="00892355"/>
    <w:rsid w:val="008A4FAC"/>
    <w:rsid w:val="008A57E5"/>
    <w:rsid w:val="008A5FAA"/>
    <w:rsid w:val="008E59DD"/>
    <w:rsid w:val="008F5C22"/>
    <w:rsid w:val="008F7233"/>
    <w:rsid w:val="0090364B"/>
    <w:rsid w:val="009127F3"/>
    <w:rsid w:val="0092497B"/>
    <w:rsid w:val="0092638C"/>
    <w:rsid w:val="00927130"/>
    <w:rsid w:val="00927BFE"/>
    <w:rsid w:val="00954745"/>
    <w:rsid w:val="00960A39"/>
    <w:rsid w:val="00977465"/>
    <w:rsid w:val="009A2AFB"/>
    <w:rsid w:val="009C27F6"/>
    <w:rsid w:val="009C46DD"/>
    <w:rsid w:val="009C5799"/>
    <w:rsid w:val="009E2013"/>
    <w:rsid w:val="009E780E"/>
    <w:rsid w:val="00A16E9F"/>
    <w:rsid w:val="00A41B35"/>
    <w:rsid w:val="00A75C12"/>
    <w:rsid w:val="00A80333"/>
    <w:rsid w:val="00AD0599"/>
    <w:rsid w:val="00AD2FD1"/>
    <w:rsid w:val="00AD7BE7"/>
    <w:rsid w:val="00AE352E"/>
    <w:rsid w:val="00B24A41"/>
    <w:rsid w:val="00B34F87"/>
    <w:rsid w:val="00B7123D"/>
    <w:rsid w:val="00B72839"/>
    <w:rsid w:val="00B735FD"/>
    <w:rsid w:val="00BA5430"/>
    <w:rsid w:val="00BD48E7"/>
    <w:rsid w:val="00C076B6"/>
    <w:rsid w:val="00C11B19"/>
    <w:rsid w:val="00C12AD3"/>
    <w:rsid w:val="00C26408"/>
    <w:rsid w:val="00C375E5"/>
    <w:rsid w:val="00C504D4"/>
    <w:rsid w:val="00C91013"/>
    <w:rsid w:val="00C9641F"/>
    <w:rsid w:val="00D20640"/>
    <w:rsid w:val="00D41538"/>
    <w:rsid w:val="00D44822"/>
    <w:rsid w:val="00D61DB1"/>
    <w:rsid w:val="00DA2500"/>
    <w:rsid w:val="00DA536B"/>
    <w:rsid w:val="00DC1E62"/>
    <w:rsid w:val="00DC6062"/>
    <w:rsid w:val="00E35837"/>
    <w:rsid w:val="00E63E74"/>
    <w:rsid w:val="00E715C4"/>
    <w:rsid w:val="00E81A15"/>
    <w:rsid w:val="00E82C09"/>
    <w:rsid w:val="00EB12F0"/>
    <w:rsid w:val="00EB46C5"/>
    <w:rsid w:val="00EB5CD0"/>
    <w:rsid w:val="00EC6249"/>
    <w:rsid w:val="00F07BA1"/>
    <w:rsid w:val="00F37B74"/>
    <w:rsid w:val="00F4662E"/>
    <w:rsid w:val="00F80350"/>
    <w:rsid w:val="00F9609F"/>
    <w:rsid w:val="00FA03CD"/>
    <w:rsid w:val="00FB0A86"/>
    <w:rsid w:val="00FB38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0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55BE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55BEA"/>
    <w:rPr>
      <w:i/>
      <w:iCs/>
    </w:rPr>
  </w:style>
  <w:style w:type="paragraph" w:styleId="Header">
    <w:name w:val="header"/>
    <w:basedOn w:val="Normal"/>
    <w:link w:val="HeaderChar"/>
    <w:uiPriority w:val="99"/>
    <w:unhideWhenUsed/>
    <w:rsid w:val="00022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B86"/>
  </w:style>
  <w:style w:type="paragraph" w:styleId="Footer">
    <w:name w:val="footer"/>
    <w:basedOn w:val="Normal"/>
    <w:link w:val="FooterChar"/>
    <w:uiPriority w:val="99"/>
    <w:semiHidden/>
    <w:unhideWhenUsed/>
    <w:rsid w:val="00022B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22B86"/>
  </w:style>
</w:styles>
</file>

<file path=word/webSettings.xml><?xml version="1.0" encoding="utf-8"?>
<w:webSettings xmlns:r="http://schemas.openxmlformats.org/officeDocument/2006/relationships" xmlns:w="http://schemas.openxmlformats.org/wordprocessingml/2006/main">
  <w:divs>
    <w:div w:id="208741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1827</Words>
  <Characters>10417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kelvinjacks</cp:lastModifiedBy>
  <cp:revision>2</cp:revision>
  <dcterms:created xsi:type="dcterms:W3CDTF">2019-12-21T07:53:00Z</dcterms:created>
  <dcterms:modified xsi:type="dcterms:W3CDTF">2019-12-21T07:53:00Z</dcterms:modified>
</cp:coreProperties>
</file>