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41B" w:rsidRDefault="002E241B" w:rsidP="002E241B">
      <w:pPr>
        <w:spacing w:line="480" w:lineRule="auto"/>
        <w:ind w:firstLine="720"/>
        <w:rPr>
          <w:rFonts w:ascii="Times New Roman" w:hAnsi="Times New Roman" w:cs="Times New Roman"/>
          <w:sz w:val="24"/>
          <w:szCs w:val="24"/>
        </w:rPr>
      </w:pP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Student Name:</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Institution:</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Course:</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Date;</w:t>
      </w:r>
    </w:p>
    <w:p w:rsidR="002E241B" w:rsidRDefault="002E241B" w:rsidP="002E241B">
      <w:pPr>
        <w:spacing w:line="480" w:lineRule="auto"/>
        <w:ind w:firstLine="720"/>
        <w:jc w:val="center"/>
        <w:rPr>
          <w:rFonts w:ascii="Times New Roman" w:hAnsi="Times New Roman" w:cs="Times New Roman"/>
          <w:b/>
          <w:sz w:val="24"/>
          <w:szCs w:val="24"/>
        </w:rPr>
      </w:pPr>
    </w:p>
    <w:p w:rsidR="00152928" w:rsidRPr="002E241B" w:rsidRDefault="002E241B" w:rsidP="002E241B">
      <w:pPr>
        <w:spacing w:line="480" w:lineRule="auto"/>
        <w:ind w:firstLine="720"/>
        <w:jc w:val="center"/>
        <w:rPr>
          <w:rFonts w:ascii="Times New Roman" w:hAnsi="Times New Roman" w:cs="Times New Roman"/>
          <w:b/>
          <w:sz w:val="24"/>
          <w:szCs w:val="24"/>
        </w:rPr>
      </w:pPr>
      <w:r w:rsidRPr="002E241B">
        <w:rPr>
          <w:rFonts w:ascii="Times New Roman" w:hAnsi="Times New Roman" w:cs="Times New Roman"/>
          <w:b/>
          <w:sz w:val="24"/>
          <w:szCs w:val="24"/>
        </w:rPr>
        <w:t>Antigone; power blinds people to the needs of others</w:t>
      </w:r>
    </w:p>
    <w:p w:rsid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 xml:space="preserve">Sophocles’ Antigone is a play that portrays how a tragic figure causes suffering to others, his own family as well as the suffering of others. This play starts with a bloody siege of Thebes by Polynices. Polynices and his brother Eteocles die in the war to fulfill Oedipus’ curse. Creon becomes the new ruler of Thebes; he orders the proper burial of Eteocles while the body of Polynices, the invader, is left to rot. He warned that anyone attempting to bury Polynices shall be stoned to death. Antigone wants to bury Polynices defying Creon’s order. Creon discovers Antigone’s plan and declares that she should be put to death. Creon’s prideful decisions as a ruler lead to the death of Antigone, Haemon, and finally Creon’s destruction. In essence, tragic heroes in literature often cause suffering to others as they end up suffering themselves. </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In this essay, I am going to discuss critically how King Creon functions as a tragic figure that causes the suffering of people around him, his family, and the suffering of all the people of Thebes to better understand the play’s main theme that power blinds people to the needs of others.</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lastRenderedPageBreak/>
        <w:t>First, it is important to understand that the play (Antigone) focuses on the theme that power blinds people. Creon is used as the tragic hero who brings suffering to other people in a way that the tragic vision or rather the main theme is brought out well. A tragic hero does not see the problem he creates or is given to him which makes him a tragic hero. In Sophocles’ Antigone, Creon is the tragic hero because he does not see the problem he created to others, his family, and himself by making decisions against the god (Wiltshire 29).</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 xml:space="preserve">Creon orders Polynices’ body to be left unburied because he started a war that saw bloodshed. He wanted his body to be left to rot; “he shall lie on the plain, unburied; and the birds and the scavenging dogs can do with him whatever they like” (Sophocles ‘Creon’ 170). Despite the ruler’s pronouncement that Polynices should not be offered a burial, Antigone reveals to </w:t>
      </w:r>
      <w:proofErr w:type="spellStart"/>
      <w:r w:rsidRPr="002E241B">
        <w:rPr>
          <w:rFonts w:ascii="Times New Roman" w:hAnsi="Times New Roman" w:cs="Times New Roman"/>
          <w:sz w:val="24"/>
          <w:szCs w:val="24"/>
        </w:rPr>
        <w:t>Ismene</w:t>
      </w:r>
      <w:proofErr w:type="spellEnd"/>
      <w:r w:rsidRPr="002E241B">
        <w:rPr>
          <w:rFonts w:ascii="Times New Roman" w:hAnsi="Times New Roman" w:cs="Times New Roman"/>
          <w:sz w:val="24"/>
          <w:szCs w:val="24"/>
        </w:rPr>
        <w:t xml:space="preserve"> that she would bury him against Creon’s law; “</w:t>
      </w:r>
      <w:proofErr w:type="spellStart"/>
      <w:r w:rsidRPr="002E241B">
        <w:rPr>
          <w:rFonts w:ascii="Times New Roman" w:hAnsi="Times New Roman" w:cs="Times New Roman"/>
          <w:sz w:val="24"/>
          <w:szCs w:val="24"/>
        </w:rPr>
        <w:t>Ismene</w:t>
      </w:r>
      <w:proofErr w:type="spellEnd"/>
      <w:r w:rsidRPr="002E241B">
        <w:rPr>
          <w:rFonts w:ascii="Times New Roman" w:hAnsi="Times New Roman" w:cs="Times New Roman"/>
          <w:sz w:val="24"/>
          <w:szCs w:val="24"/>
        </w:rPr>
        <w:t>, I am going to bury him. Will you come?” (Sophocles ‘Antigone’ 30). When Creon discovers that Antigone his niece has defied his order by attempting to offer a ritual burial to Polynices, he declares that Antigone is killed. However, Antigone makes a passionate argument that Creon’s orders are against the gods. Creon’s pride as the ruler subjects Antigone to suffering for defying his orders. Creon is too proud and he is enraged when Antigone decides to refuse to submit to his authority. Creon declares that Antigone and her sister will be put to death.</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Haemon is Creon’s son who is to marry Antigone. Haemon advises his father to reconsider his decision Haemon and Creon argue. Haemon is against his father’s pride and blindness that is subjecting others to suffering. Haemon accuses his father of arrogance while Creon accuses his son of unmanly weakness in siding with women (Wiltshire 33). Haemon leaves due to anger and promises never to return.</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lastRenderedPageBreak/>
        <w:t xml:space="preserve">Creon’s only desire is power and authority. He does not want to listen to advice, he is power angry and does not see the emotional and physicals suffering he is causing others. His advisers and closet people like Tiresias try to advise him to take the right path O, my son, these are no trifles! Think: all men make mistakes, but a good man yields when he knows his course is wrong and repairs the evil. The only crime is pride” (Sophocles ‘Tiresias’ 805). Creon neither listens to Tiresias nor his son’s advice because he does not want to look weak as the king. </w:t>
      </w:r>
      <w:proofErr w:type="spellStart"/>
      <w:r w:rsidRPr="002E241B">
        <w:rPr>
          <w:rFonts w:ascii="Times New Roman" w:hAnsi="Times New Roman" w:cs="Times New Roman"/>
          <w:sz w:val="24"/>
          <w:szCs w:val="24"/>
        </w:rPr>
        <w:t>Owoeye</w:t>
      </w:r>
      <w:proofErr w:type="spellEnd"/>
      <w:r w:rsidRPr="002E241B">
        <w:rPr>
          <w:rFonts w:ascii="Times New Roman" w:hAnsi="Times New Roman" w:cs="Times New Roman"/>
          <w:sz w:val="24"/>
          <w:szCs w:val="24"/>
        </w:rPr>
        <w:t xml:space="preserve"> (101) argues that Creon’s mind is always made up and he is stubborn with pride that does not allow him to bend to advice. He believes that if he changes his mind, he will look weak as the ruler; this demonstrates how power blinds people to the needs of others.  The king is so much obsessed with power to the extent that he cannot listen to the closest family member. This is how damning power can be.</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 xml:space="preserve">Creon refuses to listen to anyone. His refusal to listen to advisers leads to the suffering of his son Haemon. Desperately, Haemon leaves and kills himself. On the other hand, Antigone kills himself as well. When Eurydice hears the news about his son’s death, she also kills herself while cursing Creon. Finally, Creon suffers alone for his prideful decisions. He accepts responsibility for all the sufferings he caused his family and the people of Thebes and also prays for a quick death. In the end, Creon is grief-stricken to know that his pride and foolishness have caused so much suffering to other people especially his entire family. Creon admits that he has been all along a full “I was the fool” (Sophocles ‘Creon’ 990). The chorus tells the now grief0-stricken Creon to know that his foolishness caused the death of his son and wife. The chorus also lets him know that it is too late for him to change his ways. In the end, Creon accepts that power is blinding, he accepts responsibility for his son and wife’s death; “I have killed my son and my </w:t>
      </w:r>
      <w:r w:rsidRPr="002E241B">
        <w:rPr>
          <w:rFonts w:ascii="Times New Roman" w:hAnsi="Times New Roman" w:cs="Times New Roman"/>
          <w:sz w:val="24"/>
          <w:szCs w:val="24"/>
        </w:rPr>
        <w:lastRenderedPageBreak/>
        <w:t>wife” (Sophocles ‘Creon’ 1035). He also accepts that his pride as a ruler is to blame for all the shortcomings “Fate has brought all my pride to a thought of dust” (Sophocles ‘Creon’ 1035).</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Sophocles’ Antigone is a schematic play that portrays how the suffering brought upon others by Creon contributes to the tragic vision of the play that power blinds people to the needs of others. Creon’s desire for power brings not only his downfall but his suffering, the suffering of his family and all the people of Thebes. Due to his desire for power, the gods are angry and they cannot answer the people of Thebes’ prayers. In the end, Teiresias states that he can no longer communicate with the gods and the gods are not accepting his sacrifices anymore. This is to show that Creon’s pride did not only mess with his family but the entire city and all the people of Thebes. The common people here are presented by the Choragus and the Chorus; all these cannot speak to the gods because of their king’s actions and pride.</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 xml:space="preserve">Sophocles uses Creon’s pride to explain the importance of remaining sober and calm while in power.  A ruler must take advice; failing to take advice predisposes the people under one’s hands into suffering and agony. Ironically, Creon could not listen even to his family members. According to </w:t>
      </w:r>
      <w:proofErr w:type="spellStart"/>
      <w:r w:rsidRPr="002E241B">
        <w:rPr>
          <w:rFonts w:ascii="Times New Roman" w:hAnsi="Times New Roman" w:cs="Times New Roman"/>
          <w:sz w:val="24"/>
          <w:szCs w:val="24"/>
        </w:rPr>
        <w:t>Bobrick</w:t>
      </w:r>
      <w:proofErr w:type="spellEnd"/>
      <w:r w:rsidRPr="002E241B">
        <w:rPr>
          <w:rFonts w:ascii="Times New Roman" w:hAnsi="Times New Roman" w:cs="Times New Roman"/>
          <w:sz w:val="24"/>
          <w:szCs w:val="24"/>
        </w:rPr>
        <w:t xml:space="preserve"> (40), he was so drunk in power to the point that he can leave his son and wife to die. However, this could be as a result of a hapless person who sees that nothing could be done in the face of looming tragedy. Creon as the play’s hero is helpless in the face of fate; it is the fate of a tragic hero to bring his downfall alongside the suffering of others (</w:t>
      </w:r>
      <w:proofErr w:type="spellStart"/>
      <w:r w:rsidRPr="002E241B">
        <w:rPr>
          <w:rFonts w:ascii="Times New Roman" w:hAnsi="Times New Roman" w:cs="Times New Roman"/>
          <w:sz w:val="24"/>
          <w:szCs w:val="24"/>
        </w:rPr>
        <w:t>Cahyaningrum</w:t>
      </w:r>
      <w:proofErr w:type="spellEnd"/>
      <w:r w:rsidRPr="002E241B">
        <w:rPr>
          <w:rFonts w:ascii="Times New Roman" w:hAnsi="Times New Roman" w:cs="Times New Roman"/>
          <w:sz w:val="24"/>
          <w:szCs w:val="24"/>
        </w:rPr>
        <w:t xml:space="preserve"> 13).</w:t>
      </w:r>
    </w:p>
    <w:p w:rsidR="00152928" w:rsidRPr="002E241B" w:rsidRDefault="00152928" w:rsidP="002E241B">
      <w:pPr>
        <w:spacing w:line="480" w:lineRule="auto"/>
        <w:ind w:firstLine="720"/>
        <w:rPr>
          <w:rFonts w:ascii="Times New Roman" w:hAnsi="Times New Roman" w:cs="Times New Roman"/>
          <w:sz w:val="24"/>
          <w:szCs w:val="24"/>
        </w:rPr>
      </w:pPr>
      <w:r w:rsidRPr="002E241B">
        <w:rPr>
          <w:rFonts w:ascii="Times New Roman" w:hAnsi="Times New Roman" w:cs="Times New Roman"/>
          <w:sz w:val="24"/>
          <w:szCs w:val="24"/>
        </w:rPr>
        <w:t xml:space="preserve">In conclusion, we should not be too blinded by our positions to forget the needs of others. Creon is an example of a leader who is misled by his position in society. He sees himself as the absolute ruler and the sole decision-maker. He does not want his decisions to be challenged, he does not want to take advice, </w:t>
      </w:r>
      <w:proofErr w:type="gramStart"/>
      <w:r w:rsidRPr="002E241B">
        <w:rPr>
          <w:rFonts w:ascii="Times New Roman" w:hAnsi="Times New Roman" w:cs="Times New Roman"/>
          <w:sz w:val="24"/>
          <w:szCs w:val="24"/>
        </w:rPr>
        <w:t>he</w:t>
      </w:r>
      <w:proofErr w:type="gramEnd"/>
      <w:r w:rsidRPr="002E241B">
        <w:rPr>
          <w:rFonts w:ascii="Times New Roman" w:hAnsi="Times New Roman" w:cs="Times New Roman"/>
          <w:sz w:val="24"/>
          <w:szCs w:val="24"/>
        </w:rPr>
        <w:t xml:space="preserve"> does not accept his flaws. Sophocles uses this play to caution us </w:t>
      </w:r>
      <w:r w:rsidRPr="002E241B">
        <w:rPr>
          <w:rFonts w:ascii="Times New Roman" w:hAnsi="Times New Roman" w:cs="Times New Roman"/>
          <w:sz w:val="24"/>
          <w:szCs w:val="24"/>
        </w:rPr>
        <w:lastRenderedPageBreak/>
        <w:t>that power can be blinding thus those in big positions should be calm and cautious when making decisions. Creon is blind to everything; advisers, family, and the entire city. Because of this blindness, he suffers in the end; he loses his dear family, he suffers fate and subjects his people to suffering. Therefore, this play’s readers should see how important it is for leaders even in contemporary society to temper their power with reason and good counsel from trusted advisers. No one is an island, those who try to rule or rather live like Creon will suffer as they make those around them suffer as well, as Northrop Frye puts it “Tragic heroes are so much the highest points in their human landscape that they seem the inevitable conductors of the power about them.”</w:t>
      </w:r>
    </w:p>
    <w:p w:rsidR="00677C42" w:rsidRPr="002E241B" w:rsidRDefault="00677C42" w:rsidP="002E241B">
      <w:pPr>
        <w:spacing w:line="480" w:lineRule="auto"/>
        <w:ind w:firstLine="720"/>
        <w:rPr>
          <w:rFonts w:ascii="Times New Roman" w:hAnsi="Times New Roman" w:cs="Times New Roman"/>
          <w:sz w:val="24"/>
          <w:szCs w:val="24"/>
        </w:rPr>
      </w:pPr>
    </w:p>
    <w:p w:rsidR="00152928" w:rsidRPr="002E241B" w:rsidRDefault="00152928"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p>
    <w:p w:rsidR="002E241B" w:rsidRDefault="002E241B" w:rsidP="002E241B">
      <w:pPr>
        <w:spacing w:line="480" w:lineRule="auto"/>
        <w:ind w:firstLine="720"/>
        <w:rPr>
          <w:rFonts w:ascii="Times New Roman" w:hAnsi="Times New Roman" w:cs="Times New Roman"/>
          <w:sz w:val="24"/>
          <w:szCs w:val="24"/>
        </w:rPr>
      </w:pPr>
      <w:bookmarkStart w:id="0" w:name="_GoBack"/>
      <w:bookmarkEnd w:id="0"/>
    </w:p>
    <w:p w:rsidR="002E241B" w:rsidRDefault="002E241B" w:rsidP="002E241B">
      <w:pPr>
        <w:spacing w:line="480" w:lineRule="auto"/>
        <w:ind w:firstLine="720"/>
        <w:rPr>
          <w:rFonts w:ascii="Times New Roman" w:hAnsi="Times New Roman" w:cs="Times New Roman"/>
          <w:sz w:val="24"/>
          <w:szCs w:val="24"/>
        </w:rPr>
      </w:pPr>
    </w:p>
    <w:p w:rsidR="002E241B" w:rsidRPr="002E241B" w:rsidRDefault="002E241B" w:rsidP="002E241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Work cited </w:t>
      </w:r>
    </w:p>
    <w:p w:rsidR="002E241B" w:rsidRPr="002E241B" w:rsidRDefault="002E241B" w:rsidP="002E241B">
      <w:pPr>
        <w:spacing w:line="480" w:lineRule="auto"/>
        <w:ind w:left="720" w:hanging="720"/>
        <w:rPr>
          <w:rFonts w:ascii="Times New Roman" w:hAnsi="Times New Roman" w:cs="Times New Roman"/>
          <w:sz w:val="24"/>
          <w:szCs w:val="24"/>
        </w:rPr>
      </w:pPr>
      <w:proofErr w:type="spellStart"/>
      <w:r w:rsidRPr="002E241B">
        <w:rPr>
          <w:rFonts w:ascii="Times New Roman" w:hAnsi="Times New Roman" w:cs="Times New Roman"/>
          <w:color w:val="222222"/>
          <w:sz w:val="24"/>
          <w:szCs w:val="24"/>
          <w:shd w:val="clear" w:color="auto" w:fill="FFFFFF"/>
        </w:rPr>
        <w:t>Bobrick</w:t>
      </w:r>
      <w:proofErr w:type="spellEnd"/>
      <w:r w:rsidRPr="002E241B">
        <w:rPr>
          <w:rFonts w:ascii="Times New Roman" w:hAnsi="Times New Roman" w:cs="Times New Roman"/>
          <w:color w:val="222222"/>
          <w:sz w:val="24"/>
          <w:szCs w:val="24"/>
          <w:shd w:val="clear" w:color="auto" w:fill="FFFFFF"/>
        </w:rPr>
        <w:t xml:space="preserve">, Elizabeth. </w:t>
      </w:r>
      <w:proofErr w:type="gramStart"/>
      <w:r w:rsidRPr="002E241B">
        <w:rPr>
          <w:rFonts w:ascii="Times New Roman" w:hAnsi="Times New Roman" w:cs="Times New Roman"/>
          <w:color w:val="222222"/>
          <w:sz w:val="24"/>
          <w:szCs w:val="24"/>
          <w:shd w:val="clear" w:color="auto" w:fill="FFFFFF"/>
        </w:rPr>
        <w:t>"Sophocles’ Antigone and the self-isolation of the tragic hero."</w:t>
      </w:r>
      <w:proofErr w:type="gramEnd"/>
      <w:r w:rsidRPr="002E241B">
        <w:rPr>
          <w:rFonts w:ascii="Times New Roman" w:hAnsi="Times New Roman" w:cs="Times New Roman"/>
          <w:color w:val="222222"/>
          <w:sz w:val="24"/>
          <w:szCs w:val="24"/>
          <w:shd w:val="clear" w:color="auto" w:fill="FFFFFF"/>
        </w:rPr>
        <w:t> </w:t>
      </w:r>
      <w:r w:rsidRPr="002E241B">
        <w:rPr>
          <w:rFonts w:ascii="Times New Roman" w:hAnsi="Times New Roman" w:cs="Times New Roman"/>
          <w:i/>
          <w:iCs/>
          <w:color w:val="222222"/>
          <w:sz w:val="24"/>
          <w:szCs w:val="24"/>
          <w:shd w:val="clear" w:color="auto" w:fill="FFFFFF"/>
        </w:rPr>
        <w:t>Psychoanalytic Inquiry</w:t>
      </w:r>
      <w:r w:rsidRPr="002E241B">
        <w:rPr>
          <w:rFonts w:ascii="Times New Roman" w:hAnsi="Times New Roman" w:cs="Times New Roman"/>
          <w:color w:val="222222"/>
          <w:sz w:val="24"/>
          <w:szCs w:val="24"/>
          <w:shd w:val="clear" w:color="auto" w:fill="FFFFFF"/>
        </w:rPr>
        <w:t> 35.1 (2015): 40-46.</w:t>
      </w:r>
    </w:p>
    <w:p w:rsidR="002E241B" w:rsidRPr="002E241B" w:rsidRDefault="002E241B" w:rsidP="002E241B">
      <w:pPr>
        <w:spacing w:line="480" w:lineRule="auto"/>
        <w:ind w:left="720" w:hanging="720"/>
        <w:rPr>
          <w:rFonts w:ascii="Times New Roman" w:hAnsi="Times New Roman" w:cs="Times New Roman"/>
          <w:color w:val="222222"/>
          <w:sz w:val="24"/>
          <w:szCs w:val="24"/>
          <w:shd w:val="clear" w:color="auto" w:fill="FFFFFF"/>
        </w:rPr>
      </w:pPr>
      <w:proofErr w:type="spellStart"/>
      <w:r w:rsidRPr="002E241B">
        <w:rPr>
          <w:rFonts w:ascii="Times New Roman" w:hAnsi="Times New Roman" w:cs="Times New Roman"/>
          <w:color w:val="222222"/>
          <w:sz w:val="24"/>
          <w:szCs w:val="24"/>
          <w:shd w:val="clear" w:color="auto" w:fill="FFFFFF"/>
        </w:rPr>
        <w:t>Cahyaningrum</w:t>
      </w:r>
      <w:proofErr w:type="spellEnd"/>
      <w:r w:rsidRPr="002E241B">
        <w:rPr>
          <w:rFonts w:ascii="Times New Roman" w:hAnsi="Times New Roman" w:cs="Times New Roman"/>
          <w:color w:val="222222"/>
          <w:sz w:val="24"/>
          <w:szCs w:val="24"/>
          <w:shd w:val="clear" w:color="auto" w:fill="FFFFFF"/>
        </w:rPr>
        <w:t xml:space="preserve">, Lira </w:t>
      </w:r>
      <w:proofErr w:type="spellStart"/>
      <w:r w:rsidRPr="002E241B">
        <w:rPr>
          <w:rFonts w:ascii="Times New Roman" w:hAnsi="Times New Roman" w:cs="Times New Roman"/>
          <w:color w:val="222222"/>
          <w:sz w:val="24"/>
          <w:szCs w:val="24"/>
          <w:shd w:val="clear" w:color="auto" w:fill="FFFFFF"/>
        </w:rPr>
        <w:t>Dewi</w:t>
      </w:r>
      <w:proofErr w:type="spellEnd"/>
      <w:r w:rsidRPr="002E241B">
        <w:rPr>
          <w:rFonts w:ascii="Times New Roman" w:hAnsi="Times New Roman" w:cs="Times New Roman"/>
          <w:color w:val="222222"/>
          <w:sz w:val="24"/>
          <w:szCs w:val="24"/>
          <w:shd w:val="clear" w:color="auto" w:fill="FFFFFF"/>
        </w:rPr>
        <w:t xml:space="preserve">. "Representation </w:t>
      </w:r>
      <w:proofErr w:type="gramStart"/>
      <w:r w:rsidRPr="002E241B">
        <w:rPr>
          <w:rFonts w:ascii="Times New Roman" w:hAnsi="Times New Roman" w:cs="Times New Roman"/>
          <w:color w:val="222222"/>
          <w:sz w:val="24"/>
          <w:szCs w:val="24"/>
          <w:shd w:val="clear" w:color="auto" w:fill="FFFFFF"/>
        </w:rPr>
        <w:t>Of</w:t>
      </w:r>
      <w:proofErr w:type="gramEnd"/>
      <w:r w:rsidRPr="002E241B">
        <w:rPr>
          <w:rFonts w:ascii="Times New Roman" w:hAnsi="Times New Roman" w:cs="Times New Roman"/>
          <w:color w:val="222222"/>
          <w:sz w:val="24"/>
          <w:szCs w:val="24"/>
          <w:shd w:val="clear" w:color="auto" w:fill="FFFFFF"/>
        </w:rPr>
        <w:t xml:space="preserve"> Creon’s Tragic Hero In Sophocles’ Antigone." </w:t>
      </w:r>
      <w:proofErr w:type="gramStart"/>
      <w:r w:rsidRPr="002E241B">
        <w:rPr>
          <w:rFonts w:ascii="Times New Roman" w:hAnsi="Times New Roman" w:cs="Times New Roman"/>
          <w:i/>
          <w:iCs/>
          <w:color w:val="222222"/>
          <w:sz w:val="24"/>
          <w:szCs w:val="24"/>
          <w:shd w:val="clear" w:color="auto" w:fill="FFFFFF"/>
        </w:rPr>
        <w:t xml:space="preserve">A </w:t>
      </w:r>
      <w:proofErr w:type="spellStart"/>
      <w:r w:rsidRPr="002E241B">
        <w:rPr>
          <w:rFonts w:ascii="Times New Roman" w:hAnsi="Times New Roman" w:cs="Times New Roman"/>
          <w:i/>
          <w:iCs/>
          <w:color w:val="222222"/>
          <w:sz w:val="24"/>
          <w:szCs w:val="24"/>
          <w:shd w:val="clear" w:color="auto" w:fill="FFFFFF"/>
        </w:rPr>
        <w:t>Sarjana</w:t>
      </w:r>
      <w:proofErr w:type="spellEnd"/>
      <w:r w:rsidRPr="002E241B">
        <w:rPr>
          <w:rFonts w:ascii="Times New Roman" w:hAnsi="Times New Roman" w:cs="Times New Roman"/>
          <w:i/>
          <w:iCs/>
          <w:color w:val="222222"/>
          <w:sz w:val="24"/>
          <w:szCs w:val="24"/>
          <w:shd w:val="clear" w:color="auto" w:fill="FFFFFF"/>
        </w:rPr>
        <w:t xml:space="preserve"> </w:t>
      </w:r>
      <w:proofErr w:type="spellStart"/>
      <w:r w:rsidRPr="002E241B">
        <w:rPr>
          <w:rFonts w:ascii="Times New Roman" w:hAnsi="Times New Roman" w:cs="Times New Roman"/>
          <w:i/>
          <w:iCs/>
          <w:color w:val="222222"/>
          <w:sz w:val="24"/>
          <w:szCs w:val="24"/>
          <w:shd w:val="clear" w:color="auto" w:fill="FFFFFF"/>
        </w:rPr>
        <w:t>Sastra</w:t>
      </w:r>
      <w:proofErr w:type="spellEnd"/>
      <w:r w:rsidRPr="002E241B">
        <w:rPr>
          <w:rFonts w:ascii="Times New Roman" w:hAnsi="Times New Roman" w:cs="Times New Roman"/>
          <w:i/>
          <w:iCs/>
          <w:color w:val="222222"/>
          <w:sz w:val="24"/>
          <w:szCs w:val="24"/>
          <w:shd w:val="clear" w:color="auto" w:fill="FFFFFF"/>
        </w:rPr>
        <w:t xml:space="preserve"> Undergraduate Thesis.</w:t>
      </w:r>
      <w:proofErr w:type="gramEnd"/>
      <w:r w:rsidRPr="002E241B">
        <w:rPr>
          <w:rFonts w:ascii="Times New Roman" w:hAnsi="Times New Roman" w:cs="Times New Roman"/>
          <w:i/>
          <w:iCs/>
          <w:color w:val="222222"/>
          <w:sz w:val="24"/>
          <w:szCs w:val="24"/>
          <w:shd w:val="clear" w:color="auto" w:fill="FFFFFF"/>
        </w:rPr>
        <w:t xml:space="preserve"> </w:t>
      </w:r>
      <w:proofErr w:type="gramStart"/>
      <w:r w:rsidRPr="002E241B">
        <w:rPr>
          <w:rFonts w:ascii="Times New Roman" w:hAnsi="Times New Roman" w:cs="Times New Roman"/>
          <w:i/>
          <w:iCs/>
          <w:color w:val="222222"/>
          <w:sz w:val="24"/>
          <w:szCs w:val="24"/>
          <w:shd w:val="clear" w:color="auto" w:fill="FFFFFF"/>
        </w:rPr>
        <w:t>Yogyakarta</w:t>
      </w:r>
      <w:r w:rsidRPr="002E241B">
        <w:rPr>
          <w:rFonts w:ascii="Times New Roman" w:hAnsi="Times New Roman" w:cs="Times New Roman"/>
          <w:color w:val="222222"/>
          <w:sz w:val="24"/>
          <w:szCs w:val="24"/>
          <w:shd w:val="clear" w:color="auto" w:fill="FFFFFF"/>
        </w:rPr>
        <w:t> (2007).</w:t>
      </w:r>
      <w:proofErr w:type="gramEnd"/>
    </w:p>
    <w:p w:rsidR="002E241B" w:rsidRPr="002E241B" w:rsidRDefault="002E241B" w:rsidP="002E241B">
      <w:pPr>
        <w:spacing w:line="480" w:lineRule="auto"/>
        <w:ind w:left="720" w:hanging="720"/>
        <w:rPr>
          <w:rFonts w:ascii="Times New Roman" w:hAnsi="Times New Roman" w:cs="Times New Roman"/>
          <w:color w:val="222222"/>
          <w:sz w:val="24"/>
          <w:szCs w:val="24"/>
          <w:shd w:val="clear" w:color="auto" w:fill="FFFFFF"/>
        </w:rPr>
      </w:pPr>
      <w:proofErr w:type="spellStart"/>
      <w:r w:rsidRPr="002E241B">
        <w:rPr>
          <w:rFonts w:ascii="Times New Roman" w:hAnsi="Times New Roman" w:cs="Times New Roman"/>
          <w:color w:val="222222"/>
          <w:sz w:val="24"/>
          <w:szCs w:val="24"/>
          <w:shd w:val="clear" w:color="auto" w:fill="FFFFFF"/>
        </w:rPr>
        <w:t>Owoeye</w:t>
      </w:r>
      <w:proofErr w:type="spellEnd"/>
      <w:r w:rsidRPr="002E241B">
        <w:rPr>
          <w:rFonts w:ascii="Times New Roman" w:hAnsi="Times New Roman" w:cs="Times New Roman"/>
          <w:color w:val="222222"/>
          <w:sz w:val="24"/>
          <w:szCs w:val="24"/>
          <w:shd w:val="clear" w:color="auto" w:fill="FFFFFF"/>
        </w:rPr>
        <w:t xml:space="preserve">, </w:t>
      </w:r>
      <w:proofErr w:type="spellStart"/>
      <w:r w:rsidRPr="002E241B">
        <w:rPr>
          <w:rFonts w:ascii="Times New Roman" w:hAnsi="Times New Roman" w:cs="Times New Roman"/>
          <w:color w:val="222222"/>
          <w:sz w:val="24"/>
          <w:szCs w:val="24"/>
          <w:shd w:val="clear" w:color="auto" w:fill="FFFFFF"/>
        </w:rPr>
        <w:t>Omolara</w:t>
      </w:r>
      <w:proofErr w:type="spellEnd"/>
      <w:r w:rsidRPr="002E241B">
        <w:rPr>
          <w:rFonts w:ascii="Times New Roman" w:hAnsi="Times New Roman" w:cs="Times New Roman"/>
          <w:color w:val="222222"/>
          <w:sz w:val="24"/>
          <w:szCs w:val="24"/>
          <w:shd w:val="clear" w:color="auto" w:fill="FFFFFF"/>
        </w:rPr>
        <w:t xml:space="preserve"> </w:t>
      </w:r>
      <w:proofErr w:type="spellStart"/>
      <w:r w:rsidRPr="002E241B">
        <w:rPr>
          <w:rFonts w:ascii="Times New Roman" w:hAnsi="Times New Roman" w:cs="Times New Roman"/>
          <w:color w:val="222222"/>
          <w:sz w:val="24"/>
          <w:szCs w:val="24"/>
          <w:shd w:val="clear" w:color="auto" w:fill="FFFFFF"/>
        </w:rPr>
        <w:t>Kikelomo</w:t>
      </w:r>
      <w:proofErr w:type="spellEnd"/>
      <w:r w:rsidRPr="002E241B">
        <w:rPr>
          <w:rFonts w:ascii="Times New Roman" w:hAnsi="Times New Roman" w:cs="Times New Roman"/>
          <w:color w:val="222222"/>
          <w:sz w:val="24"/>
          <w:szCs w:val="24"/>
          <w:shd w:val="clear" w:color="auto" w:fill="FFFFFF"/>
        </w:rPr>
        <w:t xml:space="preserve">. </w:t>
      </w:r>
      <w:proofErr w:type="gramStart"/>
      <w:r w:rsidRPr="002E241B">
        <w:rPr>
          <w:rFonts w:ascii="Times New Roman" w:hAnsi="Times New Roman" w:cs="Times New Roman"/>
          <w:color w:val="222222"/>
          <w:sz w:val="24"/>
          <w:szCs w:val="24"/>
          <w:shd w:val="clear" w:color="auto" w:fill="FFFFFF"/>
        </w:rPr>
        <w:t>"Gender Pride as Tragic Flaw in Sophocles’ Antigone."</w:t>
      </w:r>
      <w:proofErr w:type="gramEnd"/>
      <w:r w:rsidRPr="002E241B">
        <w:rPr>
          <w:rFonts w:ascii="Times New Roman" w:hAnsi="Times New Roman" w:cs="Times New Roman"/>
          <w:color w:val="222222"/>
          <w:sz w:val="24"/>
          <w:szCs w:val="24"/>
          <w:shd w:val="clear" w:color="auto" w:fill="FFFFFF"/>
        </w:rPr>
        <w:t> </w:t>
      </w:r>
      <w:r w:rsidRPr="002E241B">
        <w:rPr>
          <w:rFonts w:ascii="Times New Roman" w:hAnsi="Times New Roman" w:cs="Times New Roman"/>
          <w:i/>
          <w:iCs/>
          <w:color w:val="222222"/>
          <w:sz w:val="24"/>
          <w:szCs w:val="24"/>
          <w:shd w:val="clear" w:color="auto" w:fill="FFFFFF"/>
        </w:rPr>
        <w:t>Journal of Research in Gender Studies</w:t>
      </w:r>
      <w:r w:rsidRPr="002E241B">
        <w:rPr>
          <w:rFonts w:ascii="Times New Roman" w:hAnsi="Times New Roman" w:cs="Times New Roman"/>
          <w:color w:val="222222"/>
          <w:sz w:val="24"/>
          <w:szCs w:val="24"/>
          <w:shd w:val="clear" w:color="auto" w:fill="FFFFFF"/>
        </w:rPr>
        <w:t> 2.1 (2012): 101-114.</w:t>
      </w:r>
    </w:p>
    <w:p w:rsidR="002E241B" w:rsidRPr="002E241B" w:rsidRDefault="002E241B" w:rsidP="002E241B">
      <w:pPr>
        <w:spacing w:line="480" w:lineRule="auto"/>
        <w:ind w:left="720" w:hanging="720"/>
        <w:rPr>
          <w:rFonts w:ascii="Times New Roman" w:hAnsi="Times New Roman" w:cs="Times New Roman"/>
          <w:color w:val="222222"/>
          <w:sz w:val="24"/>
          <w:szCs w:val="24"/>
          <w:shd w:val="clear" w:color="auto" w:fill="FFFFFF"/>
        </w:rPr>
      </w:pPr>
      <w:r w:rsidRPr="002E241B">
        <w:rPr>
          <w:rFonts w:ascii="Times New Roman" w:hAnsi="Times New Roman" w:cs="Times New Roman"/>
          <w:sz w:val="24"/>
          <w:szCs w:val="24"/>
        </w:rPr>
        <w:t xml:space="preserve"> </w:t>
      </w:r>
      <w:r w:rsidRPr="002E241B">
        <w:rPr>
          <w:rFonts w:ascii="Times New Roman" w:hAnsi="Times New Roman" w:cs="Times New Roman"/>
          <w:color w:val="222222"/>
          <w:sz w:val="24"/>
          <w:szCs w:val="24"/>
          <w:shd w:val="clear" w:color="auto" w:fill="FFFFFF"/>
        </w:rPr>
        <w:t>Sophocles. </w:t>
      </w:r>
      <w:proofErr w:type="gramStart"/>
      <w:r w:rsidRPr="002E241B">
        <w:rPr>
          <w:rFonts w:ascii="Times New Roman" w:hAnsi="Times New Roman" w:cs="Times New Roman"/>
          <w:i/>
          <w:iCs/>
          <w:color w:val="222222"/>
          <w:sz w:val="24"/>
          <w:szCs w:val="24"/>
          <w:shd w:val="clear" w:color="auto" w:fill="FFFFFF"/>
        </w:rPr>
        <w:t>Antigone</w:t>
      </w:r>
      <w:r w:rsidRPr="002E241B">
        <w:rPr>
          <w:rFonts w:ascii="Times New Roman" w:hAnsi="Times New Roman" w:cs="Times New Roman"/>
          <w:color w:val="222222"/>
          <w:sz w:val="24"/>
          <w:szCs w:val="24"/>
          <w:shd w:val="clear" w:color="auto" w:fill="FFFFFF"/>
        </w:rPr>
        <w:t>.</w:t>
      </w:r>
      <w:proofErr w:type="gramEnd"/>
      <w:r w:rsidRPr="002E241B">
        <w:rPr>
          <w:rFonts w:ascii="Times New Roman" w:hAnsi="Times New Roman" w:cs="Times New Roman"/>
          <w:color w:val="222222"/>
          <w:sz w:val="24"/>
          <w:szCs w:val="24"/>
          <w:shd w:val="clear" w:color="auto" w:fill="FFFFFF"/>
        </w:rPr>
        <w:t xml:space="preserve"> </w:t>
      </w:r>
      <w:proofErr w:type="spellStart"/>
      <w:proofErr w:type="gramStart"/>
      <w:r w:rsidRPr="002E241B">
        <w:rPr>
          <w:rFonts w:ascii="Times New Roman" w:hAnsi="Times New Roman" w:cs="Times New Roman"/>
          <w:color w:val="222222"/>
          <w:sz w:val="24"/>
          <w:szCs w:val="24"/>
          <w:shd w:val="clear" w:color="auto" w:fill="FFFFFF"/>
        </w:rPr>
        <w:t>ReadHowYouWant</w:t>
      </w:r>
      <w:proofErr w:type="spellEnd"/>
      <w:r w:rsidRPr="002E241B">
        <w:rPr>
          <w:rFonts w:ascii="Times New Roman" w:hAnsi="Times New Roman" w:cs="Times New Roman"/>
          <w:color w:val="222222"/>
          <w:sz w:val="24"/>
          <w:szCs w:val="24"/>
          <w:shd w:val="clear" w:color="auto" w:fill="FFFFFF"/>
        </w:rPr>
        <w:t>.</w:t>
      </w:r>
      <w:proofErr w:type="gramEnd"/>
      <w:r w:rsidRPr="002E241B">
        <w:rPr>
          <w:rFonts w:ascii="Times New Roman" w:hAnsi="Times New Roman" w:cs="Times New Roman"/>
          <w:color w:val="222222"/>
          <w:sz w:val="24"/>
          <w:szCs w:val="24"/>
          <w:shd w:val="clear" w:color="auto" w:fill="FFFFFF"/>
        </w:rPr>
        <w:t xml:space="preserve"> </w:t>
      </w:r>
      <w:proofErr w:type="gramStart"/>
      <w:r w:rsidRPr="002E241B">
        <w:rPr>
          <w:rFonts w:ascii="Times New Roman" w:hAnsi="Times New Roman" w:cs="Times New Roman"/>
          <w:color w:val="222222"/>
          <w:sz w:val="24"/>
          <w:szCs w:val="24"/>
          <w:shd w:val="clear" w:color="auto" w:fill="FFFFFF"/>
        </w:rPr>
        <w:t>com</w:t>
      </w:r>
      <w:proofErr w:type="gramEnd"/>
      <w:r w:rsidRPr="002E241B">
        <w:rPr>
          <w:rFonts w:ascii="Times New Roman" w:hAnsi="Times New Roman" w:cs="Times New Roman"/>
          <w:color w:val="222222"/>
          <w:sz w:val="24"/>
          <w:szCs w:val="24"/>
          <w:shd w:val="clear" w:color="auto" w:fill="FFFFFF"/>
        </w:rPr>
        <w:t>, 2008.</w:t>
      </w:r>
    </w:p>
    <w:p w:rsidR="002E241B" w:rsidRPr="002E241B" w:rsidRDefault="002E241B" w:rsidP="002E241B">
      <w:pPr>
        <w:spacing w:line="480" w:lineRule="auto"/>
        <w:ind w:left="720" w:hanging="720"/>
        <w:rPr>
          <w:rFonts w:ascii="Times New Roman" w:hAnsi="Times New Roman" w:cs="Times New Roman"/>
          <w:color w:val="222222"/>
          <w:sz w:val="24"/>
          <w:szCs w:val="24"/>
          <w:shd w:val="clear" w:color="auto" w:fill="FFFFFF"/>
        </w:rPr>
      </w:pPr>
      <w:r w:rsidRPr="002E241B">
        <w:rPr>
          <w:rFonts w:ascii="Times New Roman" w:hAnsi="Times New Roman" w:cs="Times New Roman"/>
          <w:color w:val="222222"/>
          <w:sz w:val="24"/>
          <w:szCs w:val="24"/>
          <w:shd w:val="clear" w:color="auto" w:fill="FFFFFF"/>
        </w:rPr>
        <w:t xml:space="preserve">Wiltshire, Susan Ford. </w:t>
      </w:r>
      <w:proofErr w:type="gramStart"/>
      <w:r w:rsidRPr="002E241B">
        <w:rPr>
          <w:rFonts w:ascii="Times New Roman" w:hAnsi="Times New Roman" w:cs="Times New Roman"/>
          <w:color w:val="222222"/>
          <w:sz w:val="24"/>
          <w:szCs w:val="24"/>
          <w:shd w:val="clear" w:color="auto" w:fill="FFFFFF"/>
        </w:rPr>
        <w:t>"Antigone's Disobedience."</w:t>
      </w:r>
      <w:proofErr w:type="gramEnd"/>
      <w:r w:rsidRPr="002E241B">
        <w:rPr>
          <w:rFonts w:ascii="Times New Roman" w:hAnsi="Times New Roman" w:cs="Times New Roman"/>
          <w:color w:val="222222"/>
          <w:sz w:val="24"/>
          <w:szCs w:val="24"/>
          <w:shd w:val="clear" w:color="auto" w:fill="FFFFFF"/>
        </w:rPr>
        <w:t> </w:t>
      </w:r>
      <w:r w:rsidRPr="002E241B">
        <w:rPr>
          <w:rFonts w:ascii="Times New Roman" w:hAnsi="Times New Roman" w:cs="Times New Roman"/>
          <w:i/>
          <w:iCs/>
          <w:color w:val="222222"/>
          <w:sz w:val="24"/>
          <w:szCs w:val="24"/>
          <w:shd w:val="clear" w:color="auto" w:fill="FFFFFF"/>
        </w:rPr>
        <w:t>Arethusa</w:t>
      </w:r>
      <w:r w:rsidRPr="002E241B">
        <w:rPr>
          <w:rFonts w:ascii="Times New Roman" w:hAnsi="Times New Roman" w:cs="Times New Roman"/>
          <w:color w:val="222222"/>
          <w:sz w:val="24"/>
          <w:szCs w:val="24"/>
          <w:shd w:val="clear" w:color="auto" w:fill="FFFFFF"/>
        </w:rPr>
        <w:t> 9.1 (2018</w:t>
      </w:r>
      <w:r w:rsidRPr="002E241B">
        <w:rPr>
          <w:rFonts w:ascii="Times New Roman" w:hAnsi="Times New Roman" w:cs="Times New Roman"/>
          <w:color w:val="222222"/>
          <w:sz w:val="24"/>
          <w:szCs w:val="24"/>
          <w:shd w:val="clear" w:color="auto" w:fill="FFFFFF"/>
        </w:rPr>
        <w:t>): 29-36.</w:t>
      </w:r>
    </w:p>
    <w:sectPr w:rsidR="002E241B" w:rsidRPr="002E24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2EB" w:rsidRDefault="009C32EB" w:rsidP="00152928">
      <w:pPr>
        <w:spacing w:after="0" w:line="240" w:lineRule="auto"/>
      </w:pPr>
      <w:r>
        <w:separator/>
      </w:r>
    </w:p>
  </w:endnote>
  <w:endnote w:type="continuationSeparator" w:id="0">
    <w:p w:rsidR="009C32EB" w:rsidRDefault="009C32EB" w:rsidP="00152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2EB" w:rsidRDefault="009C32EB" w:rsidP="00152928">
      <w:pPr>
        <w:spacing w:after="0" w:line="240" w:lineRule="auto"/>
      </w:pPr>
      <w:r>
        <w:separator/>
      </w:r>
    </w:p>
  </w:footnote>
  <w:footnote w:type="continuationSeparator" w:id="0">
    <w:p w:rsidR="009C32EB" w:rsidRDefault="009C32EB" w:rsidP="00152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928" w:rsidRPr="00152928" w:rsidRDefault="00152928">
    <w:pPr>
      <w:pStyle w:val="Header"/>
      <w:jc w:val="right"/>
      <w:rPr>
        <w:rFonts w:ascii="Times New Roman" w:hAnsi="Times New Roman" w:cs="Times New Roman"/>
        <w:sz w:val="24"/>
        <w:szCs w:val="24"/>
      </w:rPr>
    </w:pPr>
    <w:r w:rsidRPr="00152928">
      <w:rPr>
        <w:rFonts w:ascii="Times New Roman" w:hAnsi="Times New Roman" w:cs="Times New Roman"/>
        <w:sz w:val="24"/>
        <w:szCs w:val="24"/>
      </w:rPr>
      <w:t>Surname</w:t>
    </w:r>
    <w:sdt>
      <w:sdtPr>
        <w:rPr>
          <w:rFonts w:ascii="Times New Roman" w:hAnsi="Times New Roman" w:cs="Times New Roman"/>
          <w:sz w:val="24"/>
          <w:szCs w:val="24"/>
        </w:rPr>
        <w:id w:val="-736562484"/>
        <w:docPartObj>
          <w:docPartGallery w:val="Page Numbers (Top of Page)"/>
          <w:docPartUnique/>
        </w:docPartObj>
      </w:sdtPr>
      <w:sdtEndPr>
        <w:rPr>
          <w:noProof/>
        </w:rPr>
      </w:sdtEndPr>
      <w:sdtContent>
        <w:r w:rsidRPr="00152928">
          <w:rPr>
            <w:rFonts w:ascii="Times New Roman" w:hAnsi="Times New Roman" w:cs="Times New Roman"/>
            <w:sz w:val="24"/>
            <w:szCs w:val="24"/>
          </w:rPr>
          <w:fldChar w:fldCharType="begin"/>
        </w:r>
        <w:r w:rsidRPr="00152928">
          <w:rPr>
            <w:rFonts w:ascii="Times New Roman" w:hAnsi="Times New Roman" w:cs="Times New Roman"/>
            <w:sz w:val="24"/>
            <w:szCs w:val="24"/>
          </w:rPr>
          <w:instrText xml:space="preserve"> PAGE   \* MERGEFORMAT </w:instrText>
        </w:r>
        <w:r w:rsidRPr="00152928">
          <w:rPr>
            <w:rFonts w:ascii="Times New Roman" w:hAnsi="Times New Roman" w:cs="Times New Roman"/>
            <w:sz w:val="24"/>
            <w:szCs w:val="24"/>
          </w:rPr>
          <w:fldChar w:fldCharType="separate"/>
        </w:r>
        <w:r w:rsidR="002E241B">
          <w:rPr>
            <w:rFonts w:ascii="Times New Roman" w:hAnsi="Times New Roman" w:cs="Times New Roman"/>
            <w:noProof/>
            <w:sz w:val="24"/>
            <w:szCs w:val="24"/>
          </w:rPr>
          <w:t>1</w:t>
        </w:r>
        <w:r w:rsidRPr="00152928">
          <w:rPr>
            <w:rFonts w:ascii="Times New Roman" w:hAnsi="Times New Roman" w:cs="Times New Roman"/>
            <w:noProof/>
            <w:sz w:val="24"/>
            <w:szCs w:val="24"/>
          </w:rPr>
          <w:fldChar w:fldCharType="end"/>
        </w:r>
      </w:sdtContent>
    </w:sdt>
  </w:p>
  <w:p w:rsidR="00152928" w:rsidRDefault="001529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5F"/>
    <w:rsid w:val="001347E8"/>
    <w:rsid w:val="00152928"/>
    <w:rsid w:val="00193F91"/>
    <w:rsid w:val="002E241B"/>
    <w:rsid w:val="003F6F8A"/>
    <w:rsid w:val="0046447B"/>
    <w:rsid w:val="004B5E10"/>
    <w:rsid w:val="004F2AE7"/>
    <w:rsid w:val="005D705F"/>
    <w:rsid w:val="006318AD"/>
    <w:rsid w:val="00677C42"/>
    <w:rsid w:val="0070432C"/>
    <w:rsid w:val="008070ED"/>
    <w:rsid w:val="009C32EB"/>
    <w:rsid w:val="00A262AF"/>
    <w:rsid w:val="00C36E6F"/>
    <w:rsid w:val="00CD0B38"/>
    <w:rsid w:val="00DA49A1"/>
    <w:rsid w:val="00F50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928"/>
  </w:style>
  <w:style w:type="paragraph" w:styleId="Footer">
    <w:name w:val="footer"/>
    <w:basedOn w:val="Normal"/>
    <w:link w:val="FooterChar"/>
    <w:uiPriority w:val="99"/>
    <w:unhideWhenUsed/>
    <w:rsid w:val="0015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9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928"/>
  </w:style>
  <w:style w:type="paragraph" w:styleId="Footer">
    <w:name w:val="footer"/>
    <w:basedOn w:val="Normal"/>
    <w:link w:val="FooterChar"/>
    <w:uiPriority w:val="99"/>
    <w:unhideWhenUsed/>
    <w:rsid w:val="0015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2021-10-06T00:52:00Z</dcterms:created>
  <dcterms:modified xsi:type="dcterms:W3CDTF">2021-10-06T03:29:00Z</dcterms:modified>
</cp:coreProperties>
</file>