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142" w:rsidRDefault="00E00142" w:rsidP="00F67B46">
      <w:pPr>
        <w:spacing w:after="240" w:line="480" w:lineRule="auto"/>
        <w:rPr>
          <w:color w:val="000000" w:themeColor="text1"/>
        </w:rPr>
      </w:pPr>
    </w:p>
    <w:p w:rsidR="005E01C5" w:rsidRDefault="005E01C5" w:rsidP="00F67B46">
      <w:pPr>
        <w:spacing w:after="240" w:line="480" w:lineRule="auto"/>
        <w:rPr>
          <w:color w:val="000000" w:themeColor="text1"/>
        </w:rPr>
      </w:pPr>
    </w:p>
    <w:p w:rsidR="005E01C5" w:rsidRDefault="005E01C5" w:rsidP="00F67B46">
      <w:pPr>
        <w:spacing w:after="240" w:line="480" w:lineRule="auto"/>
        <w:rPr>
          <w:color w:val="000000" w:themeColor="text1"/>
        </w:rPr>
      </w:pPr>
    </w:p>
    <w:p w:rsidR="005E01C5" w:rsidRDefault="005E01C5" w:rsidP="00F67B46">
      <w:pPr>
        <w:spacing w:after="240" w:line="480" w:lineRule="auto"/>
        <w:rPr>
          <w:color w:val="000000" w:themeColor="text1"/>
        </w:rPr>
      </w:pPr>
    </w:p>
    <w:p w:rsidR="005E01C5" w:rsidRDefault="005E01C5" w:rsidP="00F67B46">
      <w:pPr>
        <w:spacing w:after="240" w:line="480" w:lineRule="auto"/>
        <w:rPr>
          <w:color w:val="000000" w:themeColor="text1"/>
        </w:rPr>
      </w:pPr>
    </w:p>
    <w:p w:rsidR="00E00142" w:rsidRDefault="00966888" w:rsidP="00F67B46">
      <w:pPr>
        <w:spacing w:after="240" w:line="480" w:lineRule="auto"/>
        <w:jc w:val="center"/>
        <w:rPr>
          <w:color w:val="000000" w:themeColor="text1"/>
        </w:rPr>
      </w:pPr>
      <w:r w:rsidRPr="00E00142">
        <w:rPr>
          <w:color w:val="000000" w:themeColor="text1"/>
        </w:rPr>
        <w:t>Assignment 2</w:t>
      </w:r>
    </w:p>
    <w:p w:rsidR="005E01C5" w:rsidRDefault="005E01C5" w:rsidP="00F67B46">
      <w:pPr>
        <w:spacing w:after="240" w:line="480" w:lineRule="auto"/>
        <w:jc w:val="center"/>
        <w:rPr>
          <w:color w:val="000000" w:themeColor="text1"/>
        </w:rPr>
      </w:pPr>
      <w:r>
        <w:rPr>
          <w:color w:val="000000" w:themeColor="text1"/>
        </w:rPr>
        <w:t>Name</w:t>
      </w:r>
    </w:p>
    <w:p w:rsidR="005E01C5" w:rsidRDefault="005E01C5" w:rsidP="00F67B46">
      <w:pPr>
        <w:spacing w:after="240" w:line="480" w:lineRule="auto"/>
        <w:jc w:val="center"/>
        <w:rPr>
          <w:color w:val="000000" w:themeColor="text1"/>
        </w:rPr>
      </w:pPr>
      <w:r>
        <w:rPr>
          <w:color w:val="000000" w:themeColor="text1"/>
        </w:rPr>
        <w:t>Instructor</w:t>
      </w:r>
    </w:p>
    <w:p w:rsidR="005E01C5" w:rsidRDefault="005E01C5" w:rsidP="00F67B46">
      <w:pPr>
        <w:spacing w:after="240" w:line="480" w:lineRule="auto"/>
        <w:jc w:val="center"/>
        <w:rPr>
          <w:color w:val="000000" w:themeColor="text1"/>
        </w:rPr>
      </w:pPr>
      <w:r>
        <w:rPr>
          <w:color w:val="000000" w:themeColor="text1"/>
        </w:rPr>
        <w:t>Course</w:t>
      </w:r>
    </w:p>
    <w:p w:rsidR="005E01C5" w:rsidRDefault="005E01C5" w:rsidP="00F67B46">
      <w:pPr>
        <w:spacing w:after="240" w:line="480" w:lineRule="auto"/>
        <w:jc w:val="center"/>
        <w:rPr>
          <w:color w:val="000000" w:themeColor="text1"/>
        </w:rPr>
      </w:pPr>
      <w:r>
        <w:rPr>
          <w:color w:val="000000" w:themeColor="text1"/>
        </w:rPr>
        <w:t>Date</w:t>
      </w:r>
    </w:p>
    <w:p w:rsidR="005E01C5" w:rsidRDefault="005E01C5" w:rsidP="00F67B46">
      <w:pPr>
        <w:spacing w:after="240" w:line="480" w:lineRule="auto"/>
        <w:jc w:val="center"/>
        <w:rPr>
          <w:color w:val="000000" w:themeColor="text1"/>
        </w:rPr>
      </w:pPr>
    </w:p>
    <w:p w:rsidR="005E01C5" w:rsidRDefault="005E01C5" w:rsidP="00F67B46">
      <w:pPr>
        <w:spacing w:after="240" w:line="480" w:lineRule="auto"/>
        <w:jc w:val="center"/>
        <w:rPr>
          <w:color w:val="000000" w:themeColor="text1"/>
        </w:rPr>
      </w:pPr>
    </w:p>
    <w:p w:rsidR="005E01C5" w:rsidRDefault="005E01C5" w:rsidP="00F67B46">
      <w:pPr>
        <w:spacing w:after="240" w:line="480" w:lineRule="auto"/>
        <w:jc w:val="center"/>
        <w:rPr>
          <w:color w:val="000000" w:themeColor="text1"/>
        </w:rPr>
      </w:pPr>
    </w:p>
    <w:p w:rsidR="005E01C5" w:rsidRDefault="005E01C5" w:rsidP="00F67B46">
      <w:pPr>
        <w:spacing w:after="240" w:line="480" w:lineRule="auto"/>
        <w:jc w:val="center"/>
        <w:rPr>
          <w:color w:val="000000" w:themeColor="text1"/>
        </w:rPr>
      </w:pPr>
    </w:p>
    <w:p w:rsidR="005E01C5" w:rsidRDefault="005E01C5" w:rsidP="00F67B46">
      <w:pPr>
        <w:spacing w:after="240" w:line="480" w:lineRule="auto"/>
        <w:jc w:val="center"/>
        <w:rPr>
          <w:color w:val="000000" w:themeColor="text1"/>
        </w:rPr>
      </w:pPr>
    </w:p>
    <w:p w:rsidR="005E01C5" w:rsidRDefault="005E01C5" w:rsidP="00F67B46">
      <w:pPr>
        <w:spacing w:after="240" w:line="480" w:lineRule="auto"/>
        <w:jc w:val="center"/>
        <w:rPr>
          <w:color w:val="000000" w:themeColor="text1"/>
        </w:rPr>
      </w:pPr>
    </w:p>
    <w:p w:rsidR="005E01C5" w:rsidRPr="00E00142" w:rsidRDefault="005E01C5" w:rsidP="00F67B46">
      <w:pPr>
        <w:spacing w:after="240" w:line="480" w:lineRule="auto"/>
        <w:jc w:val="center"/>
        <w:rPr>
          <w:color w:val="000000" w:themeColor="text1"/>
        </w:rPr>
      </w:pPr>
    </w:p>
    <w:p w:rsidR="00FB4740" w:rsidRPr="005E01C5" w:rsidRDefault="00966888" w:rsidP="00E00142">
      <w:pPr>
        <w:spacing w:before="240" w:after="240" w:line="480" w:lineRule="auto"/>
        <w:rPr>
          <w:color w:val="000000" w:themeColor="text1"/>
        </w:rPr>
      </w:pPr>
      <w:r w:rsidRPr="005E01C5">
        <w:rPr>
          <w:bCs/>
          <w:color w:val="000000" w:themeColor="text1"/>
        </w:rPr>
        <w:lastRenderedPageBreak/>
        <w:t>Instruction</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As I intend to explore how an NGO wants to know how social media posts are likely to be shared, remarked on, or desired by participants. Thus exploring the relationships between variables, I applied a descriptive research design (Merriam &amp; </w:t>
      </w:r>
      <w:proofErr w:type="spellStart"/>
      <w:r w:rsidRPr="00E00142">
        <w:rPr>
          <w:color w:val="000000" w:themeColor="text1"/>
        </w:rPr>
        <w:t>Tisdell</w:t>
      </w:r>
      <w:proofErr w:type="spellEnd"/>
      <w:r w:rsidRPr="00E00142">
        <w:rPr>
          <w:color w:val="000000" w:themeColor="text1"/>
        </w:rPr>
        <w:t xml:space="preserve">, 2015). In this design, the investigator shall be exclusively interested in describing the case or situation under research study. A descriptive research design is theory-based that is designed by collecting, analyzing, and presenting gathered data. The researcher will offer insights into the study by implementing such as in-depth research design. The data collected is then structured to achieve the aim of the study. Besides, a descriptive research design is essential for the investigation of the concept of Facebook posts (Gray &amp; </w:t>
      </w:r>
      <w:proofErr w:type="spellStart"/>
      <w:r w:rsidRPr="00E00142">
        <w:rPr>
          <w:color w:val="000000" w:themeColor="text1"/>
        </w:rPr>
        <w:t>Malins</w:t>
      </w:r>
      <w:proofErr w:type="spellEnd"/>
      <w:r w:rsidRPr="00E00142">
        <w:rPr>
          <w:color w:val="000000" w:themeColor="text1"/>
        </w:rPr>
        <w:t xml:space="preserve">, 2016). The research design fits the entire process of research from the structuring of research questions to ultimately evaluation and interpretation of data. </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In this scenario, the researchers will apply a correlational research design in which the effects produced by independent variables on the dependent variables are studied or monitored. For instance, in this situation, the impact of independent variables like wait time for customer orders on dependent variables like brand loyalty or client satisfaction are observed (Merriam &amp; </w:t>
      </w:r>
      <w:proofErr w:type="spellStart"/>
      <w:r w:rsidRPr="00E00142">
        <w:rPr>
          <w:color w:val="000000" w:themeColor="text1"/>
        </w:rPr>
        <w:t>Tisdell</w:t>
      </w:r>
      <w:proofErr w:type="spellEnd"/>
      <w:r w:rsidRPr="00E00142">
        <w:rPr>
          <w:color w:val="000000" w:themeColor="text1"/>
        </w:rPr>
        <w:t xml:space="preserve">, 2015). It is hugely applicable research design approach because it helps in getting solutions for the case at hand. To observe the changes the independent variable has on the dependent variable, the independent variable is changed. It is applied in social science in observing human behaviors by evaluating how customer wait to their orders will affect their satisfaction. </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Experimental research design </w:t>
      </w:r>
      <w:r w:rsidR="00F67B46">
        <w:rPr>
          <w:color w:val="000000" w:themeColor="text1"/>
        </w:rPr>
        <w:t>shall be</w:t>
      </w:r>
      <w:r w:rsidRPr="00F67B46">
        <w:rPr>
          <w:color w:val="000000" w:themeColor="text1"/>
        </w:rPr>
        <w:t xml:space="preserve"> suitable</w:t>
      </w:r>
      <w:r w:rsidRPr="00E00142">
        <w:rPr>
          <w:color w:val="000000" w:themeColor="text1"/>
        </w:rPr>
        <w:t xml:space="preserve"> for this scenario. The experimental study design shall be utilized to create relationships between the causes and effects of this scenario. </w:t>
      </w:r>
      <w:r w:rsidRPr="00E00142">
        <w:rPr>
          <w:color w:val="000000" w:themeColor="text1"/>
        </w:rPr>
        <w:lastRenderedPageBreak/>
        <w:t xml:space="preserve">The clearly defined research design stimulated why research queries. The manner the researcher shall design the study is to be primarily dictated by whether the research problems are experimental (Gray &amp; </w:t>
      </w:r>
      <w:proofErr w:type="spellStart"/>
      <w:r w:rsidRPr="00E00142">
        <w:rPr>
          <w:color w:val="000000" w:themeColor="text1"/>
        </w:rPr>
        <w:t>Malins</w:t>
      </w:r>
      <w:proofErr w:type="spellEnd"/>
      <w:r w:rsidRPr="00E00142">
        <w:rPr>
          <w:color w:val="000000" w:themeColor="text1"/>
        </w:rPr>
        <w:t xml:space="preserve">, 2016). The study questions in this scenario are descriptive. This influence the manner the data will be gathered. The investigator is interested in getting simple and insight information about the experiences of the restaurant. The researcher will apply the inductive method that implies that the investigator will research for model or trend based on the data gathered. </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In this scenario, the researcher will use diagnostic design. The investigator will be inclined toward analyzing how the African-American women role portrayal in newspaper adverts has changed for the last fifteen years. In this research design method, factors which contribute toward the African-American women role portrayal in newspaper adverts will be analyzed (Merriam &amp; </w:t>
      </w:r>
      <w:proofErr w:type="spellStart"/>
      <w:r w:rsidRPr="00E00142">
        <w:rPr>
          <w:color w:val="000000" w:themeColor="text1"/>
        </w:rPr>
        <w:t>Tisdell</w:t>
      </w:r>
      <w:proofErr w:type="spellEnd"/>
      <w:r w:rsidRPr="00E00142">
        <w:rPr>
          <w:color w:val="000000" w:themeColor="text1"/>
        </w:rPr>
        <w:t xml:space="preserve">, 2015). The researcher applied the explanatory research design. It involves the collection of information form the case studies as well as a literature review. The data is then prepared to achieve the aim of the study. Also, the design is vital for studying whether the particular models and theories utilized the ideas, phenomena, and concepts in realities. </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One cannot refuse that internet usage has become extremely prevalent among the adults between 2000 and 2018; the question is what has made most people to use it (Howard, Busch, &amp; Sheets, 2010). An analysis done on the mind showed that: the level of openness one has on the internet motivates the role of the brain called the intrinsic in a similar as active essential boosters like sex and food. While internet interaction could be enhancing different ways of free connection and communication, originally, concerns were on the number of hours spent by the youths on the internet. Online interaction is associated with being one of the factors that lead to increase one on one interaction. The five on the top of the list in digital communication are </w:t>
      </w:r>
      <w:proofErr w:type="spellStart"/>
      <w:r w:rsidRPr="00E00142">
        <w:rPr>
          <w:color w:val="000000" w:themeColor="text1"/>
        </w:rPr>
        <w:lastRenderedPageBreak/>
        <w:t>Instagram</w:t>
      </w:r>
      <w:proofErr w:type="spellEnd"/>
      <w:r w:rsidRPr="00E00142">
        <w:rPr>
          <w:color w:val="000000" w:themeColor="text1"/>
        </w:rPr>
        <w:t xml:space="preserve">, Twitter, </w:t>
      </w:r>
      <w:proofErr w:type="spellStart"/>
      <w:r w:rsidRPr="00E00142">
        <w:rPr>
          <w:color w:val="000000" w:themeColor="text1"/>
        </w:rPr>
        <w:t>Pinterest</w:t>
      </w:r>
      <w:proofErr w:type="spellEnd"/>
      <w:r w:rsidRPr="00E00142">
        <w:rPr>
          <w:color w:val="000000" w:themeColor="text1"/>
        </w:rPr>
        <w:t>, LinkedIn, and Facebook. According to Smith, Facebook is the leading in the list with seventy-one percent of the older people using it. Those using it are not just many but also actively involved and forty percent visiting several times in a day. The increase in the applications of the internet for communication could have increased from the growth in the use of non-static internet accounts (Howard, Busch, &amp; Sheets, 2010). While mobile devices grow in reputation, many people rely on the programs on their non-static device to access the internet.</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Even if internet interaction places are reachable by almost everyone, many adult youths are found to be frequent users. According to Howard, Busch, &amp; Sheets, (2010), the study showed that eighty-four percent of eighteen to twenty-nine years of age use the internet a lot compared to the others. The fact that the use of internet has become prevalent among adult youths, importance should be put on the effect it may have on their lives, especially in education. The Internet social aspects have been argued to support learning by augmenting social interactions. In particular, social networking sites link us to celebrities, strangers, colleagues, family, and </w:t>
      </w:r>
      <w:r w:rsidR="00F67B46">
        <w:rPr>
          <w:color w:val="000000" w:themeColor="text1"/>
        </w:rPr>
        <w:t>friends</w:t>
      </w:r>
      <w:r w:rsidRPr="00F67B46">
        <w:rPr>
          <w:color w:val="000000" w:themeColor="text1"/>
        </w:rPr>
        <w:t xml:space="preserve"> can</w:t>
      </w:r>
      <w:r w:rsidRPr="00E00142">
        <w:rPr>
          <w:color w:val="000000" w:themeColor="text1"/>
        </w:rPr>
        <w:t xml:space="preserve"> assist users in making and maintaining new buddies, specific identities, and express feelings and thoughts (Howard, Busch, &amp; Sheets, 2010). The primary social roles which social media plays may supplement the engaging benefits in one-on-one interactions by extending accessibility and reach of our social sites.</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The youth from many nations seem to realize communication technologies and information like internet interaction having been influential in their learning process, values, as well as their way of life (Gray &amp; </w:t>
      </w:r>
      <w:proofErr w:type="spellStart"/>
      <w:r w:rsidRPr="00E00142">
        <w:rPr>
          <w:color w:val="000000" w:themeColor="text1"/>
        </w:rPr>
        <w:t>Malins</w:t>
      </w:r>
      <w:proofErr w:type="spellEnd"/>
      <w:r w:rsidRPr="00E00142">
        <w:rPr>
          <w:color w:val="000000" w:themeColor="text1"/>
        </w:rPr>
        <w:t xml:space="preserve">, 2016). Many of the young people use internet interaction with numbers indicating as high as ninety-seven percent using it most of the time. A research carried out recently showed that fifty-seven percent of the U.S youths had started dating </w:t>
      </w:r>
      <w:r w:rsidRPr="00E00142">
        <w:rPr>
          <w:color w:val="000000" w:themeColor="text1"/>
        </w:rPr>
        <w:lastRenderedPageBreak/>
        <w:t>on the internet; also fifty percent of them had a relationship with someone on Facebook or the like to understand that they were attracted in a romantic way (Howard, Busch, &amp; Sheets, 2010). Internet interactions have acted a big part in the emotional and social enhancement of the youth.</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In 2000, the Unit of Pew Research Center researching the internet and the world started systematically to measure adoptions of internet among Americans. Pew Research has carried out ninety-seven national studies of adults since then (Howard, Busch, &amp; Sheets, 2010). The surveys have documented the way the internet has become a fundamental part of daily life across different society parts. The studies have found out that about eighty-four percent of American adults utilize the internet. </w:t>
      </w:r>
    </w:p>
    <w:p w:rsidR="00FB4740" w:rsidRPr="00E00142" w:rsidRDefault="00966888" w:rsidP="00E00142">
      <w:pPr>
        <w:spacing w:before="240" w:after="240" w:line="480" w:lineRule="auto"/>
        <w:rPr>
          <w:color w:val="000000" w:themeColor="text1"/>
        </w:rPr>
      </w:pPr>
      <w:r w:rsidRPr="00E00142">
        <w:rPr>
          <w:b/>
          <w:bCs/>
          <w:color w:val="000000" w:themeColor="text1"/>
        </w:rPr>
        <w:t>Percentage of all American adults that apply the internet</w:t>
      </w:r>
    </w:p>
    <w:tbl>
      <w:tblPr>
        <w:tblW w:w="9615" w:type="dxa"/>
        <w:tblCellMar>
          <w:left w:w="0" w:type="dxa"/>
          <w:right w:w="0" w:type="dxa"/>
        </w:tblCellMar>
        <w:tblLook w:val="04A0" w:firstRow="1" w:lastRow="0" w:firstColumn="1" w:lastColumn="0" w:noHBand="0" w:noVBand="1"/>
      </w:tblPr>
      <w:tblGrid>
        <w:gridCol w:w="3963"/>
        <w:gridCol w:w="5652"/>
      </w:tblGrid>
      <w:tr w:rsidR="006538D5" w:rsidRPr="000718C0" w:rsidTr="00233936">
        <w:trPr>
          <w:tblHeader/>
        </w:trPr>
        <w:tc>
          <w:tcPr>
            <w:tcW w:w="0" w:type="auto"/>
            <w:tcBorders>
              <w:top w:val="nil"/>
              <w:left w:val="nil"/>
              <w:bottom w:val="nil"/>
              <w:right w:val="nil"/>
            </w:tcBorders>
            <w:tcMar>
              <w:top w:w="90" w:type="dxa"/>
              <w:left w:w="75" w:type="dxa"/>
              <w:bottom w:w="90" w:type="dxa"/>
              <w:right w:w="75" w:type="dxa"/>
            </w:tcMar>
            <w:vAlign w:val="center"/>
            <w:hideMark/>
          </w:tcPr>
          <w:p w:rsidR="006538D5" w:rsidRPr="000718C0" w:rsidRDefault="006538D5" w:rsidP="00233936">
            <w:pPr>
              <w:jc w:val="center"/>
              <w:rPr>
                <w:b/>
                <w:bCs/>
                <w:color w:val="000000" w:themeColor="text1"/>
                <w:lang w:val="en-GB" w:eastAsia="en-GB"/>
              </w:rPr>
            </w:pPr>
            <w:r w:rsidRPr="000718C0">
              <w:rPr>
                <w:b/>
                <w:bCs/>
                <w:color w:val="000000" w:themeColor="text1"/>
                <w:lang w:val="en-GB" w:eastAsia="en-GB"/>
              </w:rPr>
              <w:t>Year</w:t>
            </w:r>
          </w:p>
        </w:tc>
        <w:tc>
          <w:tcPr>
            <w:tcW w:w="0" w:type="auto"/>
            <w:tcBorders>
              <w:top w:val="nil"/>
              <w:left w:val="nil"/>
              <w:bottom w:val="nil"/>
              <w:right w:val="nil"/>
            </w:tcBorders>
            <w:tcMar>
              <w:top w:w="90" w:type="dxa"/>
              <w:left w:w="75" w:type="dxa"/>
              <w:bottom w:w="90" w:type="dxa"/>
              <w:right w:w="75" w:type="dxa"/>
            </w:tcMar>
            <w:vAlign w:val="center"/>
            <w:hideMark/>
          </w:tcPr>
          <w:p w:rsidR="006538D5" w:rsidRPr="000718C0" w:rsidRDefault="006538D5" w:rsidP="00233936">
            <w:pPr>
              <w:jc w:val="center"/>
              <w:rPr>
                <w:b/>
                <w:bCs/>
                <w:color w:val="000000" w:themeColor="text1"/>
                <w:lang w:val="en-GB" w:eastAsia="en-GB"/>
              </w:rPr>
            </w:pPr>
            <w:r w:rsidRPr="000718C0">
              <w:rPr>
                <w:b/>
                <w:bCs/>
                <w:color w:val="000000" w:themeColor="text1"/>
                <w:lang w:val="en-GB" w:eastAsia="en-GB"/>
              </w:rPr>
              <w:t>Percent</w:t>
            </w:r>
          </w:p>
        </w:tc>
      </w:tr>
      <w:tr w:rsidR="006538D5" w:rsidRPr="000718C0" w:rsidTr="00233936">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2000</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52%</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55%</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59%</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61%</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63%</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68%</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71%</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74%</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2008</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74%</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2009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76%</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76%</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79%</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83%</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lastRenderedPageBreak/>
              <w:t>2013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84%</w:t>
            </w:r>
          </w:p>
        </w:tc>
      </w:tr>
      <w:tr w:rsidR="006538D5" w:rsidRPr="000718C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84%</w:t>
            </w:r>
          </w:p>
        </w:tc>
      </w:tr>
      <w:tr w:rsidR="006538D5" w:rsidRPr="000718C0" w:rsidTr="00233936">
        <w:tc>
          <w:tcPr>
            <w:tcW w:w="0" w:type="auto"/>
            <w:tcBorders>
              <w:top w:val="nil"/>
              <w:left w:val="nil"/>
              <w:bottom w:val="dotted" w:sz="6" w:space="0" w:color="CCCCCC"/>
              <w:right w:val="nil"/>
            </w:tcBorders>
            <w:shd w:val="clear" w:color="auto" w:fill="EEEDE4"/>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2015</w:t>
            </w:r>
          </w:p>
        </w:tc>
        <w:tc>
          <w:tcPr>
            <w:tcW w:w="0" w:type="auto"/>
            <w:tcBorders>
              <w:top w:val="nil"/>
              <w:left w:val="nil"/>
              <w:bottom w:val="dotted" w:sz="6" w:space="0" w:color="CCCCCC"/>
              <w:right w:val="nil"/>
            </w:tcBorders>
            <w:shd w:val="clear" w:color="auto" w:fill="EEEDE4"/>
            <w:tcMar>
              <w:top w:w="90" w:type="dxa"/>
              <w:left w:w="75" w:type="dxa"/>
              <w:bottom w:w="90" w:type="dxa"/>
              <w:right w:w="75" w:type="dxa"/>
            </w:tcMar>
            <w:vAlign w:val="center"/>
            <w:hideMark/>
          </w:tcPr>
          <w:p w:rsidR="006538D5" w:rsidRPr="000718C0" w:rsidRDefault="006538D5" w:rsidP="00233936">
            <w:pPr>
              <w:jc w:val="right"/>
              <w:rPr>
                <w:color w:val="000000" w:themeColor="text1"/>
                <w:lang w:val="en-GB" w:eastAsia="en-GB"/>
              </w:rPr>
            </w:pPr>
            <w:r w:rsidRPr="000718C0">
              <w:rPr>
                <w:color w:val="000000" w:themeColor="text1"/>
                <w:lang w:val="en-GB" w:eastAsia="en-GB"/>
              </w:rPr>
              <w:t>84%</w:t>
            </w:r>
          </w:p>
        </w:tc>
      </w:tr>
    </w:tbl>
    <w:p w:rsidR="006538D5" w:rsidRPr="004959E4" w:rsidRDefault="006538D5" w:rsidP="00E00142">
      <w:pPr>
        <w:spacing w:before="240" w:after="240" w:line="480" w:lineRule="auto"/>
        <w:rPr>
          <w:color w:val="000000" w:themeColor="text1"/>
        </w:rPr>
      </w:pPr>
      <w:r w:rsidRPr="00E00142">
        <w:rPr>
          <w:color w:val="000000" w:themeColor="text1"/>
        </w:rPr>
        <w:t xml:space="preserve"> [Source: Surveys of Pew Research Centers, 2000-2015]</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Contemporary analyses of fifteen years of data worth outline many significant trends. For certain groups, particularly people in more affluent families, youths (young grown-ups) and those with high education levels, penetration of internet is at complete levels of saturation (Merriam &amp; </w:t>
      </w:r>
      <w:proofErr w:type="spellStart"/>
      <w:r w:rsidRPr="00E00142">
        <w:rPr>
          <w:color w:val="000000" w:themeColor="text1"/>
        </w:rPr>
        <w:t>Tisdell</w:t>
      </w:r>
      <w:proofErr w:type="spellEnd"/>
      <w:r w:rsidRPr="00E00142">
        <w:rPr>
          <w:color w:val="000000" w:themeColor="text1"/>
        </w:rPr>
        <w:t xml:space="preserve">, 2015). Historically, for other groups like those coming from low-income families, older adults, and those with low levels of education, internet adoption has been low but steadily increasing specifically in recent years. Digital gaps, at the same time, still continue. In their approvals of the internet, the senior citizens have remained behind. But currently, clear majorities of 58% of older adults use the internet. </w:t>
      </w:r>
    </w:p>
    <w:p w:rsidR="00FB4740" w:rsidRDefault="00966888" w:rsidP="00E00142">
      <w:pPr>
        <w:spacing w:before="240" w:after="240" w:line="480" w:lineRule="auto"/>
        <w:rPr>
          <w:b/>
          <w:bCs/>
          <w:color w:val="000000" w:themeColor="text1"/>
        </w:rPr>
      </w:pPr>
      <w:r w:rsidRPr="00E00142">
        <w:rPr>
          <w:b/>
          <w:bCs/>
          <w:color w:val="000000" w:themeColor="text1"/>
        </w:rPr>
        <w:t>Among all American adults, the percent of people who apply the internet by age</w:t>
      </w:r>
    </w:p>
    <w:p w:rsidR="002466D0" w:rsidRPr="00DC6600" w:rsidRDefault="002466D0" w:rsidP="002466D0">
      <w:pPr>
        <w:shd w:val="clear" w:color="auto" w:fill="FFFFFF"/>
        <w:rPr>
          <w:b/>
          <w:color w:val="000000" w:themeColor="text1"/>
        </w:rPr>
      </w:pPr>
      <w:r w:rsidRPr="00791123">
        <w:rPr>
          <w:b/>
          <w:color w:val="000000" w:themeColor="text1"/>
        </w:rPr>
        <w:t>Among all American Adults, the percent of people who apply the internet by age</w:t>
      </w:r>
    </w:p>
    <w:tbl>
      <w:tblPr>
        <w:tblW w:w="9615" w:type="dxa"/>
        <w:tblCellMar>
          <w:left w:w="0" w:type="dxa"/>
          <w:right w:w="0" w:type="dxa"/>
        </w:tblCellMar>
        <w:tblLook w:val="04A0" w:firstRow="1" w:lastRow="0" w:firstColumn="1" w:lastColumn="0" w:noHBand="0" w:noVBand="1"/>
      </w:tblPr>
      <w:tblGrid>
        <w:gridCol w:w="1556"/>
        <w:gridCol w:w="1683"/>
        <w:gridCol w:w="1683"/>
        <w:gridCol w:w="1683"/>
        <w:gridCol w:w="3010"/>
      </w:tblGrid>
      <w:tr w:rsidR="002466D0" w:rsidRPr="00DC6600" w:rsidTr="00233936">
        <w:trPr>
          <w:tblHeader/>
        </w:trPr>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Year</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18-29</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30-49</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50-64</w:t>
            </w:r>
          </w:p>
        </w:tc>
        <w:tc>
          <w:tcPr>
            <w:tcW w:w="0" w:type="auto"/>
            <w:tcBorders>
              <w:top w:val="nil"/>
              <w:left w:val="nil"/>
              <w:bottom w:val="nil"/>
              <w:right w:val="nil"/>
            </w:tcBorders>
            <w:tcMar>
              <w:top w:w="90" w:type="dxa"/>
              <w:left w:w="75" w:type="dxa"/>
              <w:bottom w:w="90" w:type="dxa"/>
              <w:right w:w="75" w:type="dxa"/>
            </w:tcMar>
            <w:vAlign w:val="center"/>
            <w:hideMark/>
          </w:tcPr>
          <w:p w:rsidR="002466D0" w:rsidRPr="00DC6600" w:rsidRDefault="002466D0" w:rsidP="00233936">
            <w:pPr>
              <w:jc w:val="center"/>
              <w:rPr>
                <w:b/>
                <w:bCs/>
                <w:color w:val="000000" w:themeColor="text1"/>
                <w:lang w:val="en-GB" w:eastAsia="en-GB"/>
              </w:rPr>
            </w:pPr>
            <w:r w:rsidRPr="00DC6600">
              <w:rPr>
                <w:b/>
                <w:bCs/>
                <w:color w:val="000000" w:themeColor="text1"/>
                <w:lang w:val="en-GB" w:eastAsia="en-GB"/>
              </w:rPr>
              <w:t>65 or older</w:t>
            </w:r>
          </w:p>
        </w:tc>
      </w:tr>
      <w:tr w:rsidR="002466D0" w:rsidRPr="00DC6600" w:rsidTr="00233936">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2000</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70%</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61%</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46%</w:t>
            </w:r>
          </w:p>
        </w:tc>
        <w:tc>
          <w:tcPr>
            <w:tcW w:w="0" w:type="auto"/>
            <w:tcBorders>
              <w:top w:val="single" w:sz="6" w:space="0" w:color="CCCCCC"/>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14%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14%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18%</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78%</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22%</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66%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28%</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32%</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35%</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lastRenderedPageBreak/>
              <w:t>2008</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38%</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2009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40%</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2010</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43%</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46%</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79%</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54%</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56%</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2014</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97%</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92%</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57%</w:t>
            </w:r>
          </w:p>
        </w:tc>
      </w:tr>
      <w:tr w:rsidR="002466D0" w:rsidRPr="00DC6600" w:rsidTr="00233936">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2015</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96%</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93%</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81%</w:t>
            </w:r>
          </w:p>
        </w:tc>
        <w:tc>
          <w:tcPr>
            <w:tcW w:w="0" w:type="auto"/>
            <w:tcBorders>
              <w:top w:val="nil"/>
              <w:left w:val="nil"/>
              <w:bottom w:val="dotted" w:sz="6" w:space="0" w:color="CCCCCC"/>
              <w:right w:val="nil"/>
            </w:tcBorders>
            <w:tcMar>
              <w:top w:w="90" w:type="dxa"/>
              <w:left w:w="75" w:type="dxa"/>
              <w:bottom w:w="90" w:type="dxa"/>
              <w:right w:w="75" w:type="dxa"/>
            </w:tcMar>
            <w:vAlign w:val="center"/>
            <w:hideMark/>
          </w:tcPr>
          <w:p w:rsidR="002466D0" w:rsidRPr="00DC6600" w:rsidRDefault="002466D0" w:rsidP="00233936">
            <w:pPr>
              <w:jc w:val="right"/>
              <w:rPr>
                <w:color w:val="000000" w:themeColor="text1"/>
                <w:lang w:val="en-GB" w:eastAsia="en-GB"/>
              </w:rPr>
            </w:pPr>
            <w:r w:rsidRPr="00DC6600">
              <w:rPr>
                <w:color w:val="000000" w:themeColor="text1"/>
                <w:lang w:val="en-GB" w:eastAsia="en-GB"/>
              </w:rPr>
              <w:t>58%</w:t>
            </w:r>
          </w:p>
        </w:tc>
      </w:tr>
    </w:tbl>
    <w:p w:rsidR="00FB4740" w:rsidRPr="005E01C5" w:rsidRDefault="002466D0" w:rsidP="005E01C5">
      <w:pPr>
        <w:spacing w:after="300" w:line="288" w:lineRule="atLeast"/>
        <w:textAlignment w:val="baseline"/>
        <w:rPr>
          <w:color w:val="000000" w:themeColor="text1"/>
          <w:lang w:val="en-GB" w:eastAsia="en-GB"/>
        </w:rPr>
      </w:pPr>
      <w:r w:rsidRPr="00791123">
        <w:rPr>
          <w:color w:val="000000" w:themeColor="text1"/>
          <w:lang w:val="en-GB" w:eastAsia="en-GB"/>
        </w:rPr>
        <w:t>[</w:t>
      </w:r>
      <w:r w:rsidRPr="00DC6600">
        <w:rPr>
          <w:color w:val="000000" w:themeColor="text1"/>
          <w:lang w:val="en-GB" w:eastAsia="en-GB"/>
        </w:rPr>
        <w:t xml:space="preserve">Source: </w:t>
      </w:r>
      <w:r w:rsidRPr="00791123">
        <w:rPr>
          <w:color w:val="000000" w:themeColor="text1"/>
          <w:lang w:val="en-GB" w:eastAsia="en-GB"/>
        </w:rPr>
        <w:t>Surveys of Pew Research Centers, 2000-2015]</w:t>
      </w:r>
      <w:r w:rsidR="00966888" w:rsidRPr="00E00142">
        <w:rPr>
          <w:b/>
          <w:bCs/>
          <w:color w:val="000000" w:themeColor="text1"/>
        </w:rPr>
        <w:t xml:space="preserve"> </w:t>
      </w:r>
    </w:p>
    <w:p w:rsidR="00FB4740" w:rsidRPr="00E00142" w:rsidRDefault="00966888" w:rsidP="005E01C5">
      <w:pPr>
        <w:spacing w:before="240" w:after="240" w:line="480" w:lineRule="auto"/>
        <w:ind w:firstLine="720"/>
        <w:rPr>
          <w:color w:val="000000" w:themeColor="text1"/>
        </w:rPr>
      </w:pPr>
      <w:r w:rsidRPr="00E00142">
        <w:rPr>
          <w:color w:val="000000" w:themeColor="text1"/>
        </w:rPr>
        <w:t xml:space="preserve">The researcher had gathered statistics of a data breach from October 2009 when the Civil Rights Office of Human Services and Health Department first began publication of healthcare data breaches reviews on its websites (Merriam &amp; </w:t>
      </w:r>
      <w:proofErr w:type="spellStart"/>
      <w:r w:rsidRPr="00E00142">
        <w:rPr>
          <w:color w:val="000000" w:themeColor="text1"/>
        </w:rPr>
        <w:t>Tisdell</w:t>
      </w:r>
      <w:proofErr w:type="spellEnd"/>
      <w:r w:rsidRPr="00E00142">
        <w:rPr>
          <w:color w:val="000000" w:themeColor="text1"/>
        </w:rPr>
        <w:t>, 2015). The statistics of healthcare data breaches below include information breaches of five-hundred or more registers. It is worth noting that OCR does not publish smaller breaches. The violations are cases still under investigations by OCT and closed breaches. The statistics of healthcare breach indicates that over the past nine years, there have been increasing trends in data breaches. 2018 realized the highest numbers of data breaches documented than any other period since publication of the records first started. Over the years, they have also been remarkable changes in the causes of significant violations. Even though improve encryption use and improved procedures and policies have assisted minimize the easily preventable breaches, between 2009 and 2015, electronic health information and theft/loss of healthcare documents dominated the breach records. The statistics of healthcare data breaches indicate the major healthcare information breaches causes is currently IT/hacking events. Unauthorized d</w:t>
      </w:r>
      <w:bookmarkStart w:id="0" w:name="_GoBack"/>
      <w:bookmarkEnd w:id="0"/>
      <w:r w:rsidRPr="00E00142">
        <w:rPr>
          <w:color w:val="000000" w:themeColor="text1"/>
        </w:rPr>
        <w:t>isclosures and access are also now common. There have been 2,546 healthcare information breaches between 2009 and 2018, involving over five-</w:t>
      </w:r>
      <w:r w:rsidRPr="00E00142">
        <w:rPr>
          <w:color w:val="000000" w:themeColor="text1"/>
        </w:rPr>
        <w:lastRenderedPageBreak/>
        <w:t xml:space="preserve">hundred documents (Gray &amp; </w:t>
      </w:r>
      <w:proofErr w:type="spellStart"/>
      <w:r w:rsidRPr="00E00142">
        <w:rPr>
          <w:color w:val="000000" w:themeColor="text1"/>
        </w:rPr>
        <w:t>Malins</w:t>
      </w:r>
      <w:proofErr w:type="spellEnd"/>
      <w:r w:rsidRPr="00E00142">
        <w:rPr>
          <w:color w:val="000000" w:themeColor="text1"/>
        </w:rPr>
        <w:t xml:space="preserve">, 2016). The violations have led to the 189,945,874 healthcare reports exposures and theft. This compares to over fifty-nine percent of the U.S populations. With a steady upward trend in 2015, there have been increasing trends in the numbers of documents exposed every year. With over 113.27 million records unprotected, 2015 was the worst time in breached reports history. With consecutive decreased in the numbers of revealed documents, the case has gotten better since 2015. From 5,138,180 in 2017 to 13,236,570 reports in 2018, the amounts of exposed data was doubled over the two years. </w:t>
      </w:r>
    </w:p>
    <w:p w:rsidR="00FB4740" w:rsidRDefault="00966888" w:rsidP="005E01C5">
      <w:pPr>
        <w:spacing w:before="240" w:after="240" w:line="480" w:lineRule="auto"/>
        <w:ind w:firstLine="720"/>
        <w:rPr>
          <w:color w:val="000000" w:themeColor="text1"/>
        </w:rPr>
      </w:pPr>
      <w:r w:rsidRPr="00E00142">
        <w:rPr>
          <w:color w:val="000000" w:themeColor="text1"/>
        </w:rPr>
        <w:t xml:space="preserve">The secondary data or observation measurements improve the appropriateness of the research problem and study questions. It ensures that the research problems are clear or definite statements (expressions) about concerns area (Merriam &amp; </w:t>
      </w:r>
      <w:proofErr w:type="spellStart"/>
      <w:r w:rsidRPr="00E00142">
        <w:rPr>
          <w:color w:val="000000" w:themeColor="text1"/>
        </w:rPr>
        <w:t>Tisdell</w:t>
      </w:r>
      <w:proofErr w:type="spellEnd"/>
      <w:r w:rsidRPr="00E00142">
        <w:rPr>
          <w:color w:val="000000" w:themeColor="text1"/>
        </w:rPr>
        <w:t xml:space="preserve">, 2015). It enhances deliberate investigations. The secondary data or observation measurements find solutions for troubling questions which exist within existing practices, in scholarly literature, and in theory, as well as conditions to be improved upon. </w:t>
      </w:r>
    </w:p>
    <w:p w:rsidR="005E01C5" w:rsidRDefault="005E01C5" w:rsidP="005E01C5">
      <w:pPr>
        <w:spacing w:before="240" w:after="240" w:line="480" w:lineRule="auto"/>
        <w:ind w:firstLine="720"/>
        <w:rPr>
          <w:color w:val="000000" w:themeColor="text1"/>
        </w:rPr>
      </w:pPr>
    </w:p>
    <w:p w:rsidR="005E01C5" w:rsidRDefault="005E01C5" w:rsidP="005E01C5">
      <w:pPr>
        <w:spacing w:before="240" w:after="240" w:line="480" w:lineRule="auto"/>
        <w:ind w:firstLine="720"/>
        <w:rPr>
          <w:color w:val="000000" w:themeColor="text1"/>
        </w:rPr>
      </w:pPr>
    </w:p>
    <w:p w:rsidR="005E01C5" w:rsidRDefault="005E01C5" w:rsidP="005E01C5">
      <w:pPr>
        <w:spacing w:before="240" w:after="240" w:line="480" w:lineRule="auto"/>
        <w:ind w:firstLine="720"/>
        <w:rPr>
          <w:color w:val="000000" w:themeColor="text1"/>
        </w:rPr>
      </w:pPr>
    </w:p>
    <w:p w:rsidR="005E01C5" w:rsidRDefault="005E01C5" w:rsidP="005E01C5">
      <w:pPr>
        <w:spacing w:before="240" w:after="240" w:line="480" w:lineRule="auto"/>
        <w:ind w:firstLine="720"/>
        <w:rPr>
          <w:color w:val="000000" w:themeColor="text1"/>
        </w:rPr>
      </w:pPr>
    </w:p>
    <w:p w:rsidR="005E01C5" w:rsidRPr="00E00142" w:rsidRDefault="005E01C5" w:rsidP="005E01C5">
      <w:pPr>
        <w:spacing w:before="240" w:after="240" w:line="480" w:lineRule="auto"/>
        <w:ind w:firstLine="720"/>
        <w:rPr>
          <w:color w:val="000000" w:themeColor="text1"/>
        </w:rPr>
      </w:pPr>
    </w:p>
    <w:p w:rsidR="005E01C5" w:rsidRDefault="005E01C5" w:rsidP="00F732F0">
      <w:pPr>
        <w:spacing w:before="240" w:after="240" w:line="480" w:lineRule="auto"/>
        <w:jc w:val="center"/>
        <w:rPr>
          <w:color w:val="000000" w:themeColor="text1"/>
        </w:rPr>
      </w:pPr>
    </w:p>
    <w:p w:rsidR="005E01C5" w:rsidRDefault="005E01C5" w:rsidP="00F732F0">
      <w:pPr>
        <w:spacing w:before="240" w:after="240" w:line="480" w:lineRule="auto"/>
        <w:jc w:val="center"/>
        <w:rPr>
          <w:color w:val="000000" w:themeColor="text1"/>
        </w:rPr>
      </w:pPr>
    </w:p>
    <w:p w:rsidR="00FB4740" w:rsidRPr="00E00142" w:rsidRDefault="00966888" w:rsidP="00F732F0">
      <w:pPr>
        <w:spacing w:before="240" w:after="240" w:line="480" w:lineRule="auto"/>
        <w:jc w:val="center"/>
        <w:rPr>
          <w:color w:val="000000" w:themeColor="text1"/>
        </w:rPr>
      </w:pPr>
      <w:r w:rsidRPr="00E00142">
        <w:rPr>
          <w:color w:val="000000" w:themeColor="text1"/>
        </w:rPr>
        <w:lastRenderedPageBreak/>
        <w:t>References</w:t>
      </w:r>
    </w:p>
    <w:p w:rsidR="00FB4740" w:rsidRPr="00E00142" w:rsidRDefault="00966888" w:rsidP="005E01C5">
      <w:pPr>
        <w:spacing w:before="240" w:after="240" w:line="480" w:lineRule="auto"/>
        <w:ind w:left="720" w:hanging="720"/>
        <w:rPr>
          <w:color w:val="000000" w:themeColor="text1"/>
        </w:rPr>
      </w:pPr>
      <w:r w:rsidRPr="00E00142">
        <w:rPr>
          <w:color w:val="000000" w:themeColor="text1"/>
        </w:rPr>
        <w:t xml:space="preserve">Gray, C., &amp; </w:t>
      </w:r>
      <w:proofErr w:type="spellStart"/>
      <w:r w:rsidRPr="00E00142">
        <w:rPr>
          <w:color w:val="000000" w:themeColor="text1"/>
        </w:rPr>
        <w:t>Malins</w:t>
      </w:r>
      <w:proofErr w:type="spellEnd"/>
      <w:r w:rsidRPr="00E00142">
        <w:rPr>
          <w:color w:val="000000" w:themeColor="text1"/>
        </w:rPr>
        <w:t xml:space="preserve">, J. (2016). Visualizing research: A guide to the research process in art and design. </w:t>
      </w:r>
      <w:proofErr w:type="spellStart"/>
      <w:r w:rsidRPr="00E00142">
        <w:rPr>
          <w:color w:val="000000" w:themeColor="text1"/>
        </w:rPr>
        <w:t>Routledge</w:t>
      </w:r>
      <w:proofErr w:type="spellEnd"/>
      <w:r w:rsidRPr="00E00142">
        <w:rPr>
          <w:color w:val="000000" w:themeColor="text1"/>
        </w:rPr>
        <w:t>.</w:t>
      </w:r>
    </w:p>
    <w:p w:rsidR="00FB4740" w:rsidRPr="00E00142" w:rsidRDefault="00966888" w:rsidP="005E01C5">
      <w:pPr>
        <w:spacing w:before="240" w:after="240" w:line="480" w:lineRule="auto"/>
        <w:ind w:left="720" w:hanging="720"/>
        <w:rPr>
          <w:color w:val="000000" w:themeColor="text1"/>
        </w:rPr>
      </w:pPr>
      <w:r w:rsidRPr="00E00142">
        <w:rPr>
          <w:color w:val="000000" w:themeColor="text1"/>
        </w:rPr>
        <w:t>Howard, P., Busch, L., &amp; Sheets, P. (2010). Comparing digital divides: Internet access and social inequality in Canada and the United States. Canadian Journal of Communication, 35(1).</w:t>
      </w:r>
    </w:p>
    <w:p w:rsidR="00FB4740" w:rsidRPr="00E00142" w:rsidRDefault="00966888" w:rsidP="005E01C5">
      <w:pPr>
        <w:spacing w:before="240" w:after="240" w:line="480" w:lineRule="auto"/>
        <w:ind w:left="720" w:hanging="720"/>
        <w:rPr>
          <w:color w:val="000000" w:themeColor="text1"/>
        </w:rPr>
      </w:pPr>
      <w:r w:rsidRPr="00E00142">
        <w:rPr>
          <w:color w:val="000000" w:themeColor="text1"/>
        </w:rPr>
        <w:t xml:space="preserve">Merriam, S. B., &amp; </w:t>
      </w:r>
      <w:proofErr w:type="spellStart"/>
      <w:r w:rsidRPr="00E00142">
        <w:rPr>
          <w:color w:val="000000" w:themeColor="text1"/>
        </w:rPr>
        <w:t>Tisdell</w:t>
      </w:r>
      <w:proofErr w:type="spellEnd"/>
      <w:r w:rsidRPr="00E00142">
        <w:rPr>
          <w:color w:val="000000" w:themeColor="text1"/>
        </w:rPr>
        <w:t>, E. J. (2015). Qualitative research: A guide to design and implementation. John Wiley &amp; Sons.</w:t>
      </w:r>
    </w:p>
    <w:sectPr w:rsidR="00FB4740" w:rsidRPr="00E00142" w:rsidSect="005E01C5">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05B" w:rsidRDefault="00A0405B" w:rsidP="00F523A7">
      <w:r>
        <w:separator/>
      </w:r>
    </w:p>
  </w:endnote>
  <w:endnote w:type="continuationSeparator" w:id="0">
    <w:p w:rsidR="00A0405B" w:rsidRDefault="00A0405B" w:rsidP="00F52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05B" w:rsidRDefault="00A0405B" w:rsidP="00F523A7">
      <w:r>
        <w:separator/>
      </w:r>
    </w:p>
  </w:footnote>
  <w:footnote w:type="continuationSeparator" w:id="0">
    <w:p w:rsidR="00A0405B" w:rsidRDefault="00A0405B" w:rsidP="00F523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3677335"/>
      <w:docPartObj>
        <w:docPartGallery w:val="Page Numbers (Top of Page)"/>
        <w:docPartUnique/>
      </w:docPartObj>
    </w:sdtPr>
    <w:sdtEndPr>
      <w:rPr>
        <w:noProof/>
      </w:rPr>
    </w:sdtEndPr>
    <w:sdtContent>
      <w:p w:rsidR="00ED5F8F" w:rsidRPr="005E01C5" w:rsidRDefault="005E01C5" w:rsidP="005E01C5">
        <w:pPr>
          <w:pStyle w:val="Header"/>
          <w:tabs>
            <w:tab w:val="right" w:pos="9360"/>
          </w:tabs>
        </w:pPr>
        <w:r>
          <w:t>ASSIGNMENT</w:t>
        </w:r>
        <w:r>
          <w:tab/>
        </w:r>
        <w:r>
          <w:tab/>
        </w:r>
        <w:r>
          <w:tab/>
        </w:r>
        <w:r>
          <w:fldChar w:fldCharType="begin"/>
        </w:r>
        <w:r>
          <w:instrText xml:space="preserve"> PAGE   \* MERGEFORMAT </w:instrText>
        </w:r>
        <w:r>
          <w:fldChar w:fldCharType="separate"/>
        </w:r>
        <w:r>
          <w:rPr>
            <w:noProof/>
          </w:rPr>
          <w:t>8</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01C5" w:rsidRDefault="005E01C5" w:rsidP="005E01C5">
    <w:pPr>
      <w:pStyle w:val="Header"/>
      <w:jc w:val="right"/>
    </w:pPr>
    <w:r>
      <w:t>Running head: ASSIGNMENT</w:t>
    </w:r>
    <w:r>
      <w:tab/>
    </w:r>
    <w:r>
      <w:tab/>
    </w:r>
    <w:sdt>
      <w:sdtPr>
        <w:id w:val="-7849593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740"/>
    <w:rsid w:val="002466D0"/>
    <w:rsid w:val="004959E4"/>
    <w:rsid w:val="005E01C5"/>
    <w:rsid w:val="00617393"/>
    <w:rsid w:val="006538D5"/>
    <w:rsid w:val="00655C29"/>
    <w:rsid w:val="00966888"/>
    <w:rsid w:val="009C7B37"/>
    <w:rsid w:val="00A0405B"/>
    <w:rsid w:val="00CA46BF"/>
    <w:rsid w:val="00E00142"/>
    <w:rsid w:val="00ED5F8F"/>
    <w:rsid w:val="00F523A7"/>
    <w:rsid w:val="00F67B46"/>
    <w:rsid w:val="00F732F0"/>
    <w:rsid w:val="00F93928"/>
    <w:rsid w:val="00FB47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7A8B8D-0B31-4A63-BE10-2CAA3EFC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A7"/>
    <w:pPr>
      <w:tabs>
        <w:tab w:val="center" w:pos="4513"/>
        <w:tab w:val="right" w:pos="9026"/>
      </w:tabs>
    </w:pPr>
  </w:style>
  <w:style w:type="character" w:customStyle="1" w:styleId="HeaderChar">
    <w:name w:val="Header Char"/>
    <w:basedOn w:val="DefaultParagraphFont"/>
    <w:link w:val="Header"/>
    <w:uiPriority w:val="99"/>
    <w:rsid w:val="00F523A7"/>
    <w:rPr>
      <w:sz w:val="24"/>
      <w:szCs w:val="24"/>
    </w:rPr>
  </w:style>
  <w:style w:type="paragraph" w:styleId="Footer">
    <w:name w:val="footer"/>
    <w:basedOn w:val="Normal"/>
    <w:link w:val="FooterChar"/>
    <w:uiPriority w:val="99"/>
    <w:unhideWhenUsed/>
    <w:rsid w:val="00F523A7"/>
    <w:pPr>
      <w:tabs>
        <w:tab w:val="center" w:pos="4513"/>
        <w:tab w:val="right" w:pos="9026"/>
      </w:tabs>
    </w:pPr>
  </w:style>
  <w:style w:type="character" w:customStyle="1" w:styleId="FooterChar">
    <w:name w:val="Footer Char"/>
    <w:basedOn w:val="DefaultParagraphFont"/>
    <w:link w:val="Footer"/>
    <w:uiPriority w:val="99"/>
    <w:rsid w:val="00F523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2019-08-09T21:12:00Z</dcterms:created>
  <dcterms:modified xsi:type="dcterms:W3CDTF">2019-08-09T21:12:00Z</dcterms:modified>
</cp:coreProperties>
</file>