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142" w:rsidRDefault="00E00142" w:rsidP="00F67B46">
      <w:pPr>
        <w:spacing w:after="240" w:line="480" w:lineRule="auto"/>
        <w:rPr>
          <w:color w:val="000000" w:themeColor="text1"/>
        </w:rPr>
      </w:pPr>
    </w:p>
    <w:p w:rsidR="00E00142" w:rsidRPr="00E00142" w:rsidRDefault="00966888" w:rsidP="00F67B46">
      <w:pPr>
        <w:spacing w:after="240" w:line="480" w:lineRule="auto"/>
        <w:jc w:val="center"/>
        <w:rPr>
          <w:color w:val="000000" w:themeColor="text1"/>
        </w:rPr>
      </w:pPr>
      <w:r w:rsidRPr="00E00142">
        <w:rPr>
          <w:color w:val="000000" w:themeColor="text1"/>
        </w:rPr>
        <w:t>Assignment 2</w:t>
      </w:r>
      <w:bookmarkStart w:id="0" w:name="_GoBack"/>
      <w:bookmarkEnd w:id="0"/>
    </w:p>
    <w:p w:rsidR="00FB4740" w:rsidRPr="00E00142" w:rsidRDefault="00966888" w:rsidP="00E00142">
      <w:pPr>
        <w:spacing w:before="240" w:after="240" w:line="480" w:lineRule="auto"/>
        <w:rPr>
          <w:color w:val="000000" w:themeColor="text1"/>
        </w:rPr>
      </w:pPr>
      <w:r w:rsidRPr="00E00142">
        <w:rPr>
          <w:b/>
          <w:bCs/>
          <w:color w:val="000000" w:themeColor="text1"/>
        </w:rPr>
        <w:t>Instruction</w:t>
      </w:r>
    </w:p>
    <w:p w:rsidR="00FB4740" w:rsidRPr="00E00142" w:rsidRDefault="00966888" w:rsidP="00E00142">
      <w:pPr>
        <w:spacing w:before="240" w:after="240" w:line="480" w:lineRule="auto"/>
        <w:rPr>
          <w:color w:val="000000" w:themeColor="text1"/>
        </w:rPr>
      </w:pPr>
      <w:r w:rsidRPr="00E00142">
        <w:rPr>
          <w:b/>
          <w:bCs/>
          <w:color w:val="000000" w:themeColor="text1"/>
        </w:rPr>
        <w:t xml:space="preserve">Sketch a research design using observation research for each of the following. Be sure to explain the procedure you would use: </w:t>
      </w:r>
    </w:p>
    <w:p w:rsidR="00FB4740" w:rsidRPr="00E00142" w:rsidRDefault="00966888" w:rsidP="00E00142">
      <w:pPr>
        <w:spacing w:before="240" w:after="240" w:line="480" w:lineRule="auto"/>
        <w:rPr>
          <w:color w:val="000000" w:themeColor="text1"/>
        </w:rPr>
      </w:pPr>
      <w:r w:rsidRPr="00E00142">
        <w:rPr>
          <w:b/>
          <w:bCs/>
          <w:color w:val="000000" w:themeColor="text1"/>
        </w:rPr>
        <w:t xml:space="preserve">An NGO intends to understand how Facebook posts are likely to be shared, commented on, or liked by stakeholders </w:t>
      </w:r>
    </w:p>
    <w:p w:rsidR="00FB4740" w:rsidRPr="00E00142" w:rsidRDefault="00966888" w:rsidP="00E00142">
      <w:pPr>
        <w:spacing w:before="240" w:after="240" w:line="480" w:lineRule="auto"/>
        <w:rPr>
          <w:color w:val="000000" w:themeColor="text1"/>
        </w:rPr>
      </w:pPr>
      <w:r w:rsidRPr="00E00142">
        <w:rPr>
          <w:color w:val="000000" w:themeColor="text1"/>
        </w:rPr>
        <w:t xml:space="preserve">As I intend to explore how an NGO wants to know how social media posts are likely to be shared, remarked on, or desired by participants. Thus exploring the relationships between variables, I applied a descriptive research design (Merriam &amp; </w:t>
      </w:r>
      <w:proofErr w:type="spellStart"/>
      <w:r w:rsidRPr="00E00142">
        <w:rPr>
          <w:color w:val="000000" w:themeColor="text1"/>
        </w:rPr>
        <w:t>Tisdell</w:t>
      </w:r>
      <w:proofErr w:type="spellEnd"/>
      <w:r w:rsidRPr="00E00142">
        <w:rPr>
          <w:color w:val="000000" w:themeColor="text1"/>
        </w:rPr>
        <w:t xml:space="preserve">, 2015). In this design, the investigator shall be exclusively interested in describing the case or situation under research study. A descriptive research design is theory-based that is designed by collecting, analyzing, and presenting gathered data. The researcher will offer insights into the study by implementing such as in-depth research design. The data collected is then structured to achieve the aim of the study. Besides, a descriptive research design is essential for the investigation of the concept of Facebook posts (Gray &amp; </w:t>
      </w:r>
      <w:proofErr w:type="spellStart"/>
      <w:r w:rsidRPr="00E00142">
        <w:rPr>
          <w:color w:val="000000" w:themeColor="text1"/>
        </w:rPr>
        <w:t>Malins</w:t>
      </w:r>
      <w:proofErr w:type="spellEnd"/>
      <w:r w:rsidRPr="00E00142">
        <w:rPr>
          <w:color w:val="000000" w:themeColor="text1"/>
        </w:rPr>
        <w:t xml:space="preserve">, 2016). The research design fits the entire process of research from the structuring of research questions to ultimately evaluation and interpretation of data. </w:t>
      </w:r>
    </w:p>
    <w:p w:rsidR="00FB4740" w:rsidRPr="00E00142" w:rsidRDefault="00966888" w:rsidP="00E00142">
      <w:pPr>
        <w:spacing w:before="240" w:after="240" w:line="480" w:lineRule="auto"/>
        <w:rPr>
          <w:color w:val="000000" w:themeColor="text1"/>
        </w:rPr>
      </w:pPr>
      <w:r w:rsidRPr="00E00142">
        <w:rPr>
          <w:b/>
          <w:bCs/>
          <w:color w:val="000000" w:themeColor="text1"/>
        </w:rPr>
        <w:t xml:space="preserve">An executive of a major fast-food restaurant wants to know how long a customer has to wait to get their order. </w:t>
      </w:r>
    </w:p>
    <w:p w:rsidR="00FB4740" w:rsidRPr="00E00142" w:rsidRDefault="00966888" w:rsidP="00E00142">
      <w:pPr>
        <w:spacing w:before="240" w:after="240" w:line="480" w:lineRule="auto"/>
        <w:rPr>
          <w:color w:val="000000" w:themeColor="text1"/>
        </w:rPr>
      </w:pPr>
      <w:r w:rsidRPr="00E00142">
        <w:rPr>
          <w:color w:val="000000" w:themeColor="text1"/>
        </w:rPr>
        <w:lastRenderedPageBreak/>
        <w:t xml:space="preserve">In this scenario, the researchers will apply a correlational research design in which the effects produced by independent variables on the dependent variables are studied or monitored. For instance, in this situation, the impact of independent variables like wait time for customer orders on dependent variables like brand loyalty or client satisfaction are observed (Merriam &amp; </w:t>
      </w:r>
      <w:proofErr w:type="spellStart"/>
      <w:r w:rsidRPr="00E00142">
        <w:rPr>
          <w:color w:val="000000" w:themeColor="text1"/>
        </w:rPr>
        <w:t>Tisdell</w:t>
      </w:r>
      <w:proofErr w:type="spellEnd"/>
      <w:r w:rsidRPr="00E00142">
        <w:rPr>
          <w:color w:val="000000" w:themeColor="text1"/>
        </w:rPr>
        <w:t xml:space="preserve">, 2015). It is hugely applicable research design approach because it helps in getting solutions for the case at hand. To observe the changes the independent variable has on the dependent variable, the independent variable is changed. It is applied in social science in observing human behaviors by evaluating how customer wait to their orders will affect their satisfaction. </w:t>
      </w:r>
    </w:p>
    <w:p w:rsidR="00FB4740" w:rsidRPr="00E00142" w:rsidRDefault="00966888" w:rsidP="00E00142">
      <w:pPr>
        <w:spacing w:before="240" w:after="240" w:line="480" w:lineRule="auto"/>
        <w:rPr>
          <w:color w:val="000000" w:themeColor="text1"/>
        </w:rPr>
      </w:pPr>
      <w:r w:rsidRPr="00E00142">
        <w:rPr>
          <w:b/>
          <w:bCs/>
          <w:color w:val="000000" w:themeColor="text1"/>
        </w:rPr>
        <w:t xml:space="preserve">The orders are put inside the restaurant, not in the drive-thru. </w:t>
      </w:r>
    </w:p>
    <w:p w:rsidR="00FB4740" w:rsidRPr="00E00142" w:rsidRDefault="00966888" w:rsidP="00E00142">
      <w:pPr>
        <w:spacing w:before="240" w:after="240" w:line="480" w:lineRule="auto"/>
        <w:rPr>
          <w:color w:val="000000" w:themeColor="text1"/>
        </w:rPr>
      </w:pPr>
      <w:r w:rsidRPr="00E00142">
        <w:rPr>
          <w:color w:val="000000" w:themeColor="text1"/>
        </w:rPr>
        <w:t xml:space="preserve">Experimental research design </w:t>
      </w:r>
      <w:r w:rsidR="00F67B46">
        <w:rPr>
          <w:color w:val="000000" w:themeColor="text1"/>
        </w:rPr>
        <w:t>shall be</w:t>
      </w:r>
      <w:r w:rsidRPr="00F67B46">
        <w:rPr>
          <w:color w:val="000000" w:themeColor="text1"/>
        </w:rPr>
        <w:t xml:space="preserve"> suitable</w:t>
      </w:r>
      <w:r w:rsidRPr="00E00142">
        <w:rPr>
          <w:color w:val="000000" w:themeColor="text1"/>
        </w:rPr>
        <w:t xml:space="preserve"> for this scenario. The experimental study design shall be utilized to create relationships between the causes and effects of this scenario. The clearly defined research design stimulated why research queries. The manner the researcher shall design the study is to be primarily dictated by whether the research problems are experimental (Gray &amp; </w:t>
      </w:r>
      <w:proofErr w:type="spellStart"/>
      <w:r w:rsidRPr="00E00142">
        <w:rPr>
          <w:color w:val="000000" w:themeColor="text1"/>
        </w:rPr>
        <w:t>Malins</w:t>
      </w:r>
      <w:proofErr w:type="spellEnd"/>
      <w:r w:rsidRPr="00E00142">
        <w:rPr>
          <w:color w:val="000000" w:themeColor="text1"/>
        </w:rPr>
        <w:t xml:space="preserve">, 2016). The study questions in this scenario are descriptive. This influence the manner the data will be gathered. The investigator is interested in getting simple and insight information about the experiences of the restaurant. The researcher will apply the inductive method that implies that the investigator will research for model or trend based on the data gathered. </w:t>
      </w:r>
    </w:p>
    <w:p w:rsidR="00FB4740" w:rsidRPr="00E00142" w:rsidRDefault="00966888" w:rsidP="00E00142">
      <w:pPr>
        <w:spacing w:before="240" w:after="240" w:line="480" w:lineRule="auto"/>
        <w:rPr>
          <w:color w:val="000000" w:themeColor="text1"/>
        </w:rPr>
      </w:pPr>
      <w:r w:rsidRPr="00E00142">
        <w:rPr>
          <w:b/>
          <w:bCs/>
          <w:color w:val="000000" w:themeColor="text1"/>
        </w:rPr>
        <w:t xml:space="preserve">A researcher wants to know if the role portrayal of African American women in magazine advertisements has changed over the past 15 years. </w:t>
      </w:r>
    </w:p>
    <w:p w:rsidR="00FB4740" w:rsidRPr="00E00142" w:rsidRDefault="00966888" w:rsidP="00E00142">
      <w:pPr>
        <w:spacing w:before="240" w:after="240" w:line="480" w:lineRule="auto"/>
        <w:rPr>
          <w:color w:val="000000" w:themeColor="text1"/>
        </w:rPr>
      </w:pPr>
      <w:r w:rsidRPr="00E00142">
        <w:rPr>
          <w:color w:val="000000" w:themeColor="text1"/>
        </w:rPr>
        <w:t xml:space="preserve">In this scenario, the researcher will use diagnostic design. The investigator will be inclined toward analyzing how the African-American women role portrayal in newspaper adverts has </w:t>
      </w:r>
      <w:r w:rsidRPr="00E00142">
        <w:rPr>
          <w:color w:val="000000" w:themeColor="text1"/>
        </w:rPr>
        <w:lastRenderedPageBreak/>
        <w:t xml:space="preserve">changed for the last fifteen years. In this research design method, factors which contribute toward the African-American women role portrayal in newspaper adverts will be analyzed (Merriam &amp; </w:t>
      </w:r>
      <w:proofErr w:type="spellStart"/>
      <w:r w:rsidRPr="00E00142">
        <w:rPr>
          <w:color w:val="000000" w:themeColor="text1"/>
        </w:rPr>
        <w:t>Tisdell</w:t>
      </w:r>
      <w:proofErr w:type="spellEnd"/>
      <w:r w:rsidRPr="00E00142">
        <w:rPr>
          <w:color w:val="000000" w:themeColor="text1"/>
        </w:rPr>
        <w:t xml:space="preserve">, 2015). The researcher applied the explanatory research design. It involves the collection of information form the case studies as well as a literature review. The data is then prepared to achieve the aim of the study. Also, the design is vital for studying whether the particular models and theories utilized the ideas, phenomena, and concepts in realities. </w:t>
      </w:r>
    </w:p>
    <w:p w:rsidR="00FB4740" w:rsidRPr="00E00142" w:rsidRDefault="00966888" w:rsidP="00E00142">
      <w:pPr>
        <w:spacing w:before="240" w:after="240" w:line="480" w:lineRule="auto"/>
        <w:rPr>
          <w:color w:val="000000" w:themeColor="text1"/>
        </w:rPr>
      </w:pPr>
      <w:r w:rsidRPr="00E00142">
        <w:rPr>
          <w:b/>
          <w:bCs/>
          <w:color w:val="000000" w:themeColor="text1"/>
        </w:rPr>
        <w:t xml:space="preserve">Examine the guide to primary and secondary sources to see what is available. This can be found under </w:t>
      </w:r>
      <w:proofErr w:type="spellStart"/>
      <w:r w:rsidRPr="00E00142">
        <w:rPr>
          <w:b/>
          <w:bCs/>
          <w:color w:val="000000" w:themeColor="text1"/>
        </w:rPr>
        <w:t>LibGuides</w:t>
      </w:r>
      <w:proofErr w:type="spellEnd"/>
      <w:r w:rsidRPr="00E00142">
        <w:rPr>
          <w:b/>
          <w:bCs/>
          <w:color w:val="000000" w:themeColor="text1"/>
        </w:rPr>
        <w:t xml:space="preserve"> → Research Process → Primary and Secondary Resources. Then go back to the home page and look scroll through the databases available (See A-Z databases) to locate data to answer the following questions: </w:t>
      </w:r>
    </w:p>
    <w:p w:rsidR="00FB4740" w:rsidRPr="00E00142" w:rsidRDefault="00966888" w:rsidP="00E00142">
      <w:pPr>
        <w:spacing w:before="240" w:after="240" w:line="480" w:lineRule="auto"/>
        <w:rPr>
          <w:color w:val="000000" w:themeColor="text1"/>
        </w:rPr>
      </w:pPr>
      <w:r w:rsidRPr="00E00142">
        <w:rPr>
          <w:b/>
          <w:bCs/>
          <w:color w:val="000000" w:themeColor="text1"/>
        </w:rPr>
        <w:t>(a) Does there appear to be a relationship between adult internet usage and age between 2000 and 2018?</w:t>
      </w:r>
    </w:p>
    <w:p w:rsidR="00FB4740" w:rsidRPr="00E00142" w:rsidRDefault="00966888" w:rsidP="00E00142">
      <w:pPr>
        <w:spacing w:before="240" w:after="240" w:line="480" w:lineRule="auto"/>
        <w:rPr>
          <w:color w:val="000000" w:themeColor="text1"/>
        </w:rPr>
      </w:pPr>
      <w:r w:rsidRPr="00E00142">
        <w:rPr>
          <w:color w:val="000000" w:themeColor="text1"/>
        </w:rPr>
        <w:t xml:space="preserve">One cannot refuse that internet usage has become extremely prevalent among the adults between 2000 and 2018; the question is what has made most people to use it (Howard, Busch, &amp; Sheets, 2010). An analysis done on the mind showed that: the level of openness one has on the internet motivates the role of the brain called the intrinsic in a similar as active essential boosters like sex and food. While internet interaction could be enhancing different ways of free connection and communication, originally, concerns were on the number of hours spent by the youths on the internet. Online interaction is associated with being one of the factors that lead to increase one on one interaction. The five on the top of the list in digital communication are </w:t>
      </w:r>
      <w:proofErr w:type="spellStart"/>
      <w:r w:rsidRPr="00E00142">
        <w:rPr>
          <w:color w:val="000000" w:themeColor="text1"/>
        </w:rPr>
        <w:t>Instagram</w:t>
      </w:r>
      <w:proofErr w:type="spellEnd"/>
      <w:r w:rsidRPr="00E00142">
        <w:rPr>
          <w:color w:val="000000" w:themeColor="text1"/>
        </w:rPr>
        <w:t xml:space="preserve">, Twitter, </w:t>
      </w:r>
      <w:proofErr w:type="spellStart"/>
      <w:r w:rsidRPr="00E00142">
        <w:rPr>
          <w:color w:val="000000" w:themeColor="text1"/>
        </w:rPr>
        <w:t>Pinterest</w:t>
      </w:r>
      <w:proofErr w:type="spellEnd"/>
      <w:r w:rsidRPr="00E00142">
        <w:rPr>
          <w:color w:val="000000" w:themeColor="text1"/>
        </w:rPr>
        <w:t xml:space="preserve">, LinkedIn, and Facebook. According to Smith, Facebook is the leading in the list with seventy-one percent of the older people using it. Those using it are not just many but also </w:t>
      </w:r>
      <w:r w:rsidRPr="00E00142">
        <w:rPr>
          <w:color w:val="000000" w:themeColor="text1"/>
        </w:rPr>
        <w:lastRenderedPageBreak/>
        <w:t>actively involved and forty percent visiting several times in a day. The increase in the applications of the internet for communication could have increased from the growth in the use of non-static internet accounts (Howard, Busch, &amp; Sheets, 2010). While mobile devices grow in reputation, many people rely on the programs on their non-static device to access the internet.</w:t>
      </w:r>
    </w:p>
    <w:p w:rsidR="00FB4740" w:rsidRPr="00E00142" w:rsidRDefault="00966888" w:rsidP="00E00142">
      <w:pPr>
        <w:spacing w:before="240" w:after="240" w:line="480" w:lineRule="auto"/>
        <w:rPr>
          <w:color w:val="000000" w:themeColor="text1"/>
        </w:rPr>
      </w:pPr>
      <w:r w:rsidRPr="00E00142">
        <w:rPr>
          <w:color w:val="000000" w:themeColor="text1"/>
        </w:rPr>
        <w:t xml:space="preserve">Even if internet interaction places are reachable by almost everyone, many adult youths are found to be frequent users. According to Howard, Busch, &amp; Sheets, (2010), the study showed that eighty-four percent of eighteen to twenty-nine years of age use the internet a lot compared to the others. The fact that the use of internet has become prevalent among adult youths, importance should be put on the effect it may have on their lives, especially in education. The Internet social aspects have been argued to support learning by augmenting social interactions. In particular, social networking sites link us to celebrities, strangers, colleagues, family, and </w:t>
      </w:r>
      <w:r w:rsidR="00F67B46">
        <w:rPr>
          <w:color w:val="000000" w:themeColor="text1"/>
        </w:rPr>
        <w:t>friends</w:t>
      </w:r>
      <w:r w:rsidRPr="00F67B46">
        <w:rPr>
          <w:color w:val="000000" w:themeColor="text1"/>
        </w:rPr>
        <w:t xml:space="preserve"> can</w:t>
      </w:r>
      <w:r w:rsidRPr="00E00142">
        <w:rPr>
          <w:color w:val="000000" w:themeColor="text1"/>
        </w:rPr>
        <w:t xml:space="preserve"> assist users in making and maintaining new buddies, specific identities, and express feelings and thoughts (Howard, Busch, &amp; Sheets, 2010). The primary social roles which social media plays may supplement the engaging benefits in one-on-one interactions by extending accessibility and reach of our social sites.</w:t>
      </w:r>
    </w:p>
    <w:p w:rsidR="00FB4740" w:rsidRPr="00E00142" w:rsidRDefault="00966888" w:rsidP="00E00142">
      <w:pPr>
        <w:spacing w:before="240" w:after="240" w:line="480" w:lineRule="auto"/>
        <w:rPr>
          <w:color w:val="000000" w:themeColor="text1"/>
        </w:rPr>
      </w:pPr>
      <w:r w:rsidRPr="00E00142">
        <w:rPr>
          <w:color w:val="000000" w:themeColor="text1"/>
        </w:rPr>
        <w:t xml:space="preserve">The youth from many nations seem to realize communication technologies and information like internet interaction having been influential in their learning process, values, as well as their way of life (Gray &amp; </w:t>
      </w:r>
      <w:proofErr w:type="spellStart"/>
      <w:r w:rsidRPr="00E00142">
        <w:rPr>
          <w:color w:val="000000" w:themeColor="text1"/>
        </w:rPr>
        <w:t>Malins</w:t>
      </w:r>
      <w:proofErr w:type="spellEnd"/>
      <w:r w:rsidRPr="00E00142">
        <w:rPr>
          <w:color w:val="000000" w:themeColor="text1"/>
        </w:rPr>
        <w:t>, 2016). Many of the young people use internet interaction with numbers indicating as high as ninety-seven percent using it most of the time. A research carried out recently showed that fifty-seven percent of the U.S youths had started dating on the internet; also fifty percent of them had a relationship with someone on Facebook or the like to understand that they were attracted in a romantic way (Howard, Busch, &amp; Sheets, 2010). Internet interactions have acted a big part in the emotional and social enhancement of the youth.</w:t>
      </w:r>
    </w:p>
    <w:p w:rsidR="00FB4740" w:rsidRPr="00E00142" w:rsidRDefault="00966888" w:rsidP="00E00142">
      <w:pPr>
        <w:spacing w:before="240" w:after="240" w:line="480" w:lineRule="auto"/>
        <w:rPr>
          <w:color w:val="000000" w:themeColor="text1"/>
        </w:rPr>
      </w:pPr>
      <w:r w:rsidRPr="00E00142">
        <w:rPr>
          <w:color w:val="000000" w:themeColor="text1"/>
        </w:rPr>
        <w:lastRenderedPageBreak/>
        <w:t xml:space="preserve">In 2000, the Unit of Pew Research Center researching the internet and the world started systematically to measure adoptions of internet among Americans. Pew Research has carried out ninety-seven national studies of adults since then (Howard, Busch, &amp; Sheets, 2010). The surveys have documented the way the internet has become a fundamental part of daily life across different society parts. The studies have found out that about eighty-four percent of American adults utilize the internet. </w:t>
      </w:r>
    </w:p>
    <w:p w:rsidR="00FB4740" w:rsidRPr="00E00142" w:rsidRDefault="00966888" w:rsidP="00E00142">
      <w:pPr>
        <w:spacing w:before="240" w:after="240" w:line="480" w:lineRule="auto"/>
        <w:rPr>
          <w:color w:val="000000" w:themeColor="text1"/>
        </w:rPr>
      </w:pPr>
      <w:r w:rsidRPr="00E00142">
        <w:rPr>
          <w:b/>
          <w:bCs/>
          <w:color w:val="000000" w:themeColor="text1"/>
        </w:rPr>
        <w:t>Percentage of all American adults that apply the internet</w:t>
      </w:r>
    </w:p>
    <w:tbl>
      <w:tblPr>
        <w:tblW w:w="9615" w:type="dxa"/>
        <w:tblCellMar>
          <w:left w:w="0" w:type="dxa"/>
          <w:right w:w="0" w:type="dxa"/>
        </w:tblCellMar>
        <w:tblLook w:val="04A0" w:firstRow="1" w:lastRow="0" w:firstColumn="1" w:lastColumn="0" w:noHBand="0" w:noVBand="1"/>
      </w:tblPr>
      <w:tblGrid>
        <w:gridCol w:w="3963"/>
        <w:gridCol w:w="5652"/>
      </w:tblGrid>
      <w:tr w:rsidR="006538D5" w:rsidRPr="000718C0" w:rsidTr="00233936">
        <w:trPr>
          <w:tblHeader/>
        </w:trPr>
        <w:tc>
          <w:tcPr>
            <w:tcW w:w="0" w:type="auto"/>
            <w:tcBorders>
              <w:top w:val="nil"/>
              <w:left w:val="nil"/>
              <w:bottom w:val="nil"/>
              <w:right w:val="nil"/>
            </w:tcBorders>
            <w:tcMar>
              <w:top w:w="90" w:type="dxa"/>
              <w:left w:w="75" w:type="dxa"/>
              <w:bottom w:w="90" w:type="dxa"/>
              <w:right w:w="75" w:type="dxa"/>
            </w:tcMar>
            <w:vAlign w:val="center"/>
            <w:hideMark/>
          </w:tcPr>
          <w:p w:rsidR="006538D5" w:rsidRPr="000718C0" w:rsidRDefault="006538D5" w:rsidP="00233936">
            <w:pPr>
              <w:jc w:val="center"/>
              <w:rPr>
                <w:b/>
                <w:bCs/>
                <w:color w:val="000000" w:themeColor="text1"/>
                <w:lang w:val="en-GB" w:eastAsia="en-GB"/>
              </w:rPr>
            </w:pPr>
            <w:r w:rsidRPr="000718C0">
              <w:rPr>
                <w:b/>
                <w:bCs/>
                <w:color w:val="000000" w:themeColor="text1"/>
                <w:lang w:val="en-GB" w:eastAsia="en-GB"/>
              </w:rPr>
              <w:t>Year</w:t>
            </w:r>
          </w:p>
        </w:tc>
        <w:tc>
          <w:tcPr>
            <w:tcW w:w="0" w:type="auto"/>
            <w:tcBorders>
              <w:top w:val="nil"/>
              <w:left w:val="nil"/>
              <w:bottom w:val="nil"/>
              <w:right w:val="nil"/>
            </w:tcBorders>
            <w:tcMar>
              <w:top w:w="90" w:type="dxa"/>
              <w:left w:w="75" w:type="dxa"/>
              <w:bottom w:w="90" w:type="dxa"/>
              <w:right w:w="75" w:type="dxa"/>
            </w:tcMar>
            <w:vAlign w:val="center"/>
            <w:hideMark/>
          </w:tcPr>
          <w:p w:rsidR="006538D5" w:rsidRPr="000718C0" w:rsidRDefault="006538D5" w:rsidP="00233936">
            <w:pPr>
              <w:jc w:val="center"/>
              <w:rPr>
                <w:b/>
                <w:bCs/>
                <w:color w:val="000000" w:themeColor="text1"/>
                <w:lang w:val="en-GB" w:eastAsia="en-GB"/>
              </w:rPr>
            </w:pPr>
            <w:r w:rsidRPr="000718C0">
              <w:rPr>
                <w:b/>
                <w:bCs/>
                <w:color w:val="000000" w:themeColor="text1"/>
                <w:lang w:val="en-GB" w:eastAsia="en-GB"/>
              </w:rPr>
              <w:t>Percent</w:t>
            </w:r>
          </w:p>
        </w:tc>
      </w:tr>
      <w:tr w:rsidR="006538D5" w:rsidRPr="000718C0" w:rsidTr="00233936">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2000</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52%</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55%</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59%</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61%</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63%</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68%</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71%</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74%</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2008</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74%</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76%</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76%</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79%</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83%</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84%</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84%</w:t>
            </w:r>
          </w:p>
        </w:tc>
      </w:tr>
      <w:tr w:rsidR="006538D5" w:rsidRPr="000718C0" w:rsidTr="00233936">
        <w:tc>
          <w:tcPr>
            <w:tcW w:w="0" w:type="auto"/>
            <w:tcBorders>
              <w:top w:val="nil"/>
              <w:left w:val="nil"/>
              <w:bottom w:val="dotted" w:sz="6" w:space="0" w:color="CCCCCC"/>
              <w:right w:val="nil"/>
            </w:tcBorders>
            <w:shd w:val="clear" w:color="auto" w:fill="EEEDE4"/>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2015</w:t>
            </w:r>
          </w:p>
        </w:tc>
        <w:tc>
          <w:tcPr>
            <w:tcW w:w="0" w:type="auto"/>
            <w:tcBorders>
              <w:top w:val="nil"/>
              <w:left w:val="nil"/>
              <w:bottom w:val="dotted" w:sz="6" w:space="0" w:color="CCCCCC"/>
              <w:right w:val="nil"/>
            </w:tcBorders>
            <w:shd w:val="clear" w:color="auto" w:fill="EEEDE4"/>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84%</w:t>
            </w:r>
          </w:p>
        </w:tc>
      </w:tr>
    </w:tbl>
    <w:p w:rsidR="006538D5" w:rsidRPr="004959E4" w:rsidRDefault="006538D5" w:rsidP="00E00142">
      <w:pPr>
        <w:spacing w:before="240" w:after="240" w:line="480" w:lineRule="auto"/>
        <w:rPr>
          <w:color w:val="000000" w:themeColor="text1"/>
        </w:rPr>
      </w:pPr>
      <w:r w:rsidRPr="00E00142">
        <w:rPr>
          <w:color w:val="000000" w:themeColor="text1"/>
        </w:rPr>
        <w:t xml:space="preserve"> [Source: Surveys of Pew Research Centers, 2000-2015]</w:t>
      </w:r>
    </w:p>
    <w:p w:rsidR="00FB4740" w:rsidRPr="00E00142" w:rsidRDefault="00966888" w:rsidP="00E00142">
      <w:pPr>
        <w:spacing w:before="240" w:after="240" w:line="480" w:lineRule="auto"/>
        <w:rPr>
          <w:color w:val="000000" w:themeColor="text1"/>
        </w:rPr>
      </w:pPr>
      <w:r w:rsidRPr="00E00142">
        <w:rPr>
          <w:color w:val="000000" w:themeColor="text1"/>
        </w:rPr>
        <w:lastRenderedPageBreak/>
        <w:t xml:space="preserve">Contemporary analyses of fifteen years of data worth outline many significant trends. For certain groups, particularly people in more affluent families, youths (young grown-ups) and those with high education levels, penetration of internet is at complete levels of saturation (Merriam &amp; </w:t>
      </w:r>
      <w:proofErr w:type="spellStart"/>
      <w:r w:rsidRPr="00E00142">
        <w:rPr>
          <w:color w:val="000000" w:themeColor="text1"/>
        </w:rPr>
        <w:t>Tisdell</w:t>
      </w:r>
      <w:proofErr w:type="spellEnd"/>
      <w:r w:rsidRPr="00E00142">
        <w:rPr>
          <w:color w:val="000000" w:themeColor="text1"/>
        </w:rPr>
        <w:t xml:space="preserve">, 2015). Historically, for other groups like those coming from low-income families, older adults, and those with low levels of education, internet adoption has been low but steadily increasing specifically in recent years. Digital gaps, at the same time, still continue. In their approvals of the internet, the senior citizens have remained behind. But currently, clear majorities of 58% of older adults use the internet. </w:t>
      </w:r>
    </w:p>
    <w:p w:rsidR="00FB4740" w:rsidRDefault="00966888" w:rsidP="00E00142">
      <w:pPr>
        <w:spacing w:before="240" w:after="240" w:line="480" w:lineRule="auto"/>
        <w:rPr>
          <w:b/>
          <w:bCs/>
          <w:color w:val="000000" w:themeColor="text1"/>
        </w:rPr>
      </w:pPr>
      <w:r w:rsidRPr="00E00142">
        <w:rPr>
          <w:b/>
          <w:bCs/>
          <w:color w:val="000000" w:themeColor="text1"/>
        </w:rPr>
        <w:t>Among all American adults, the percent of people who apply the internet by age</w:t>
      </w:r>
    </w:p>
    <w:p w:rsidR="002466D0" w:rsidRPr="00DC6600" w:rsidRDefault="002466D0" w:rsidP="002466D0">
      <w:pPr>
        <w:shd w:val="clear" w:color="auto" w:fill="FFFFFF"/>
        <w:rPr>
          <w:b/>
          <w:color w:val="000000" w:themeColor="text1"/>
        </w:rPr>
      </w:pPr>
      <w:r w:rsidRPr="00791123">
        <w:rPr>
          <w:b/>
          <w:color w:val="000000" w:themeColor="text1"/>
        </w:rPr>
        <w:t>Among all American Adults, the percent of people who apply the internet by age</w:t>
      </w:r>
    </w:p>
    <w:tbl>
      <w:tblPr>
        <w:tblW w:w="9615" w:type="dxa"/>
        <w:tblCellMar>
          <w:left w:w="0" w:type="dxa"/>
          <w:right w:w="0" w:type="dxa"/>
        </w:tblCellMar>
        <w:tblLook w:val="04A0" w:firstRow="1" w:lastRow="0" w:firstColumn="1" w:lastColumn="0" w:noHBand="0" w:noVBand="1"/>
      </w:tblPr>
      <w:tblGrid>
        <w:gridCol w:w="1556"/>
        <w:gridCol w:w="1683"/>
        <w:gridCol w:w="1683"/>
        <w:gridCol w:w="1683"/>
        <w:gridCol w:w="3010"/>
      </w:tblGrid>
      <w:tr w:rsidR="002466D0" w:rsidRPr="00DC6600" w:rsidTr="00233936">
        <w:trPr>
          <w:tblHeader/>
        </w:trPr>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Year</w:t>
            </w:r>
          </w:p>
        </w:tc>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18-29</w:t>
            </w:r>
          </w:p>
        </w:tc>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30-49</w:t>
            </w:r>
          </w:p>
        </w:tc>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50-64</w:t>
            </w:r>
          </w:p>
        </w:tc>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65 or older</w:t>
            </w:r>
          </w:p>
        </w:tc>
      </w:tr>
      <w:tr w:rsidR="002466D0" w:rsidRPr="00DC6600" w:rsidTr="00233936">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2000</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70%</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61%</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46%</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14%</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65%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14%</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18%</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78%</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22%</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61%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24%</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66%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28%</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32%</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35%</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2008</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38%</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40%</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43%</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46%</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54%</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56%</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lastRenderedPageBreak/>
              <w:t>2014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57%</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58%</w:t>
            </w:r>
          </w:p>
        </w:tc>
      </w:tr>
    </w:tbl>
    <w:p w:rsidR="002466D0" w:rsidRPr="002466D0" w:rsidRDefault="002466D0" w:rsidP="002466D0">
      <w:pPr>
        <w:spacing w:after="300" w:line="288" w:lineRule="atLeast"/>
        <w:textAlignment w:val="baseline"/>
        <w:rPr>
          <w:color w:val="000000" w:themeColor="text1"/>
          <w:lang w:val="en-GB" w:eastAsia="en-GB"/>
        </w:rPr>
      </w:pPr>
      <w:r w:rsidRPr="00791123">
        <w:rPr>
          <w:color w:val="000000" w:themeColor="text1"/>
          <w:lang w:val="en-GB" w:eastAsia="en-GB"/>
        </w:rPr>
        <w:t>[</w:t>
      </w:r>
      <w:r w:rsidRPr="00DC6600">
        <w:rPr>
          <w:color w:val="000000" w:themeColor="text1"/>
          <w:lang w:val="en-GB" w:eastAsia="en-GB"/>
        </w:rPr>
        <w:t xml:space="preserve">Source: </w:t>
      </w:r>
      <w:r w:rsidRPr="00791123">
        <w:rPr>
          <w:color w:val="000000" w:themeColor="text1"/>
          <w:lang w:val="en-GB" w:eastAsia="en-GB"/>
        </w:rPr>
        <w:t>Surveys of Pew Research Centers, 2000-2015]</w:t>
      </w:r>
    </w:p>
    <w:p w:rsidR="00FB4740" w:rsidRPr="00E00142" w:rsidRDefault="002466D0" w:rsidP="00E00142">
      <w:pPr>
        <w:spacing w:before="240" w:after="240" w:line="480" w:lineRule="auto"/>
        <w:rPr>
          <w:color w:val="000000" w:themeColor="text1"/>
        </w:rPr>
      </w:pPr>
      <w:r w:rsidRPr="00E00142">
        <w:rPr>
          <w:b/>
          <w:bCs/>
          <w:color w:val="000000" w:themeColor="text1"/>
        </w:rPr>
        <w:t xml:space="preserve"> </w:t>
      </w:r>
      <w:r w:rsidR="00966888" w:rsidRPr="00E00142">
        <w:rPr>
          <w:b/>
          <w:bCs/>
          <w:color w:val="000000" w:themeColor="text1"/>
        </w:rPr>
        <w:t xml:space="preserve">(b) Has the incidence of data breaches in the health/medical sector increased in the last five years? </w:t>
      </w:r>
    </w:p>
    <w:p w:rsidR="00FB4740" w:rsidRPr="00E00142" w:rsidRDefault="00966888" w:rsidP="00E00142">
      <w:pPr>
        <w:spacing w:before="240" w:after="240" w:line="480" w:lineRule="auto"/>
        <w:rPr>
          <w:color w:val="000000" w:themeColor="text1"/>
        </w:rPr>
      </w:pPr>
      <w:r w:rsidRPr="00E00142">
        <w:rPr>
          <w:color w:val="000000" w:themeColor="text1"/>
        </w:rPr>
        <w:t xml:space="preserve">The researcher had gathered statistics of a data breach from October 2009 when the Civil Rights Office of Human Services and Health Department first began publication of healthcare data breaches reviews on its websites (Merriam &amp; </w:t>
      </w:r>
      <w:proofErr w:type="spellStart"/>
      <w:r w:rsidRPr="00E00142">
        <w:rPr>
          <w:color w:val="000000" w:themeColor="text1"/>
        </w:rPr>
        <w:t>Tisdell</w:t>
      </w:r>
      <w:proofErr w:type="spellEnd"/>
      <w:r w:rsidRPr="00E00142">
        <w:rPr>
          <w:color w:val="000000" w:themeColor="text1"/>
        </w:rPr>
        <w:t xml:space="preserve">, 2015). The statistics of healthcare data breaches below include information breaches of five-hundred or more registers. It is worth noting that OCR does not publish smaller breaches. The violations are cases still under investigations by OCT and closed breaches. The statistics of healthcare breach indicates that over the past nine years, there have been increasing trends in data breaches. 2018 realized the highest numbers of data breaches documented than any other period since publication of the records first started. Over the years, they have also been remarkable changes in the causes of significant violations. Even though improve encryption use and improved procedures and policies have assisted minimize the easily preventable breaches, between 2009 and 2015, electronic health information and theft/loss of healthcare documents dominated the breach records. The statistics of healthcare data breaches indicate the major healthcare information breaches causes is currently IT/hacking events. Unauthorized disclosures and access are also now common. There have been 2,546 healthcare information breaches between 2009 and 2018, involving over five-hundred documents (Gray &amp; </w:t>
      </w:r>
      <w:proofErr w:type="spellStart"/>
      <w:r w:rsidRPr="00E00142">
        <w:rPr>
          <w:color w:val="000000" w:themeColor="text1"/>
        </w:rPr>
        <w:t>Malins</w:t>
      </w:r>
      <w:proofErr w:type="spellEnd"/>
      <w:r w:rsidRPr="00E00142">
        <w:rPr>
          <w:color w:val="000000" w:themeColor="text1"/>
        </w:rPr>
        <w:t xml:space="preserve">, 2016). The violations have led to the 189,945,874 </w:t>
      </w:r>
      <w:r w:rsidRPr="00E00142">
        <w:rPr>
          <w:color w:val="000000" w:themeColor="text1"/>
        </w:rPr>
        <w:lastRenderedPageBreak/>
        <w:t xml:space="preserve">healthcare reports exposures and theft. This compares to over fifty-nine percent of the U.S populations. </w:t>
      </w:r>
    </w:p>
    <w:p w:rsidR="00FB4740" w:rsidRPr="00E00142" w:rsidRDefault="00966888" w:rsidP="00E00142">
      <w:pPr>
        <w:spacing w:before="240" w:after="240" w:line="480" w:lineRule="auto"/>
        <w:rPr>
          <w:color w:val="000000" w:themeColor="text1"/>
        </w:rPr>
      </w:pPr>
      <w:r w:rsidRPr="00E00142">
        <w:rPr>
          <w:color w:val="000000" w:themeColor="text1"/>
        </w:rPr>
        <w:t xml:space="preserve">With a steady upward trend in 2015, there have been increasing trends in the numbers of documents exposed every year. With over 113.27 million records unprotected, 2015 was the worst time in breached reports history. With consecutive decreased in the numbers of revealed documents, the case has gotten better since 2015. From 5,138,180 in 2017 to 13,236,570 reports in 2018, the amounts of exposed data was doubled over the two years. </w:t>
      </w:r>
    </w:p>
    <w:p w:rsidR="00FB4740" w:rsidRPr="00E00142" w:rsidRDefault="00966888" w:rsidP="00E00142">
      <w:pPr>
        <w:spacing w:before="240" w:after="240" w:line="480" w:lineRule="auto"/>
        <w:rPr>
          <w:color w:val="000000" w:themeColor="text1"/>
        </w:rPr>
      </w:pPr>
      <w:r w:rsidRPr="00E00142">
        <w:rPr>
          <w:b/>
          <w:bCs/>
          <w:color w:val="000000" w:themeColor="text1"/>
        </w:rPr>
        <w:t>Comment on the appropriateness of observation and/or secondary data for the measurement of the concepts identified in your research questions. Explain your rationale.</w:t>
      </w:r>
    </w:p>
    <w:p w:rsidR="00FB4740" w:rsidRPr="00E00142" w:rsidRDefault="00966888" w:rsidP="00E00142">
      <w:pPr>
        <w:spacing w:before="240" w:after="240" w:line="480" w:lineRule="auto"/>
        <w:rPr>
          <w:color w:val="000000" w:themeColor="text1"/>
        </w:rPr>
      </w:pPr>
      <w:r w:rsidRPr="00E00142">
        <w:rPr>
          <w:color w:val="000000" w:themeColor="text1"/>
        </w:rPr>
        <w:t xml:space="preserve">The secondary data or observation measurements improve the appropriateness of the research problem and study questions. It ensures that the research problems are clear or definite statements (expressions) about concerns area (Merriam &amp; </w:t>
      </w:r>
      <w:proofErr w:type="spellStart"/>
      <w:r w:rsidRPr="00E00142">
        <w:rPr>
          <w:color w:val="000000" w:themeColor="text1"/>
        </w:rPr>
        <w:t>Tisdell</w:t>
      </w:r>
      <w:proofErr w:type="spellEnd"/>
      <w:r w:rsidRPr="00E00142">
        <w:rPr>
          <w:color w:val="000000" w:themeColor="text1"/>
        </w:rPr>
        <w:t xml:space="preserve">, 2015). It enhances deliberate investigations. The secondary data or observation measurements find solutions for troubling questions which exist within existing practices, in scholarly literature, and in theory, as well as conditions to be improved upon. </w:t>
      </w:r>
    </w:p>
    <w:p w:rsidR="00FB4740" w:rsidRPr="00E00142" w:rsidRDefault="00966888" w:rsidP="00F732F0">
      <w:pPr>
        <w:spacing w:before="240" w:after="240" w:line="480" w:lineRule="auto"/>
        <w:jc w:val="center"/>
        <w:rPr>
          <w:color w:val="000000" w:themeColor="text1"/>
        </w:rPr>
      </w:pPr>
      <w:r w:rsidRPr="00E00142">
        <w:rPr>
          <w:color w:val="000000" w:themeColor="text1"/>
        </w:rPr>
        <w:t>References</w:t>
      </w:r>
    </w:p>
    <w:p w:rsidR="00FB4740" w:rsidRPr="00E00142" w:rsidRDefault="00966888" w:rsidP="00E00142">
      <w:pPr>
        <w:spacing w:before="240" w:after="240" w:line="480" w:lineRule="auto"/>
        <w:rPr>
          <w:color w:val="000000" w:themeColor="text1"/>
        </w:rPr>
      </w:pPr>
      <w:r w:rsidRPr="00E00142">
        <w:rPr>
          <w:color w:val="000000" w:themeColor="text1"/>
        </w:rPr>
        <w:t xml:space="preserve">Gray, C., &amp; </w:t>
      </w:r>
      <w:proofErr w:type="spellStart"/>
      <w:r w:rsidRPr="00E00142">
        <w:rPr>
          <w:color w:val="000000" w:themeColor="text1"/>
        </w:rPr>
        <w:t>Malins</w:t>
      </w:r>
      <w:proofErr w:type="spellEnd"/>
      <w:r w:rsidRPr="00E00142">
        <w:rPr>
          <w:color w:val="000000" w:themeColor="text1"/>
        </w:rPr>
        <w:t xml:space="preserve">, J. (2016). Visualizing research: A guide to the research process in art and design. </w:t>
      </w:r>
      <w:proofErr w:type="spellStart"/>
      <w:r w:rsidRPr="00E00142">
        <w:rPr>
          <w:color w:val="000000" w:themeColor="text1"/>
        </w:rPr>
        <w:t>Routledge</w:t>
      </w:r>
      <w:proofErr w:type="spellEnd"/>
      <w:r w:rsidRPr="00E00142">
        <w:rPr>
          <w:color w:val="000000" w:themeColor="text1"/>
        </w:rPr>
        <w:t>.</w:t>
      </w:r>
    </w:p>
    <w:p w:rsidR="00FB4740" w:rsidRPr="00E00142" w:rsidRDefault="00966888" w:rsidP="00E00142">
      <w:pPr>
        <w:spacing w:before="240" w:after="240" w:line="480" w:lineRule="auto"/>
        <w:rPr>
          <w:color w:val="000000" w:themeColor="text1"/>
        </w:rPr>
      </w:pPr>
      <w:r w:rsidRPr="00E00142">
        <w:rPr>
          <w:color w:val="000000" w:themeColor="text1"/>
        </w:rPr>
        <w:t>Howard, P., Busch, L., &amp; Sheets, P. (2010). Comparing digital divides: Internet access and social inequality in Canada and the United States. Canadian Journal of Communication, 35(1).</w:t>
      </w:r>
    </w:p>
    <w:p w:rsidR="00FB4740" w:rsidRPr="00E00142" w:rsidRDefault="00966888" w:rsidP="00E00142">
      <w:pPr>
        <w:spacing w:before="240" w:after="240" w:line="480" w:lineRule="auto"/>
        <w:rPr>
          <w:color w:val="000000" w:themeColor="text1"/>
        </w:rPr>
      </w:pPr>
      <w:r w:rsidRPr="00E00142">
        <w:rPr>
          <w:color w:val="000000" w:themeColor="text1"/>
        </w:rPr>
        <w:lastRenderedPageBreak/>
        <w:t xml:space="preserve">Merriam, S. B., &amp; </w:t>
      </w:r>
      <w:proofErr w:type="spellStart"/>
      <w:r w:rsidRPr="00E00142">
        <w:rPr>
          <w:color w:val="000000" w:themeColor="text1"/>
        </w:rPr>
        <w:t>Tisdell</w:t>
      </w:r>
      <w:proofErr w:type="spellEnd"/>
      <w:r w:rsidRPr="00E00142">
        <w:rPr>
          <w:color w:val="000000" w:themeColor="text1"/>
        </w:rPr>
        <w:t>, E. J. (2015). Qualitative research: A guide to design and implementation. John Wiley &amp; Sons.</w:t>
      </w:r>
    </w:p>
    <w:sectPr w:rsidR="00FB4740" w:rsidRPr="00E00142" w:rsidSect="00F67B46">
      <w:headerReference w:type="default" r:id="rId6"/>
      <w:pgSz w:w="12240" w:h="15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6D1" w:rsidRDefault="00B066D1" w:rsidP="00F523A7">
      <w:r>
        <w:separator/>
      </w:r>
    </w:p>
  </w:endnote>
  <w:endnote w:type="continuationSeparator" w:id="0">
    <w:p w:rsidR="00B066D1" w:rsidRDefault="00B066D1" w:rsidP="00F52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6D1" w:rsidRDefault="00B066D1" w:rsidP="00F523A7">
      <w:r>
        <w:separator/>
      </w:r>
    </w:p>
  </w:footnote>
  <w:footnote w:type="continuationSeparator" w:id="0">
    <w:p w:rsidR="00B066D1" w:rsidRDefault="00B066D1" w:rsidP="00F523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F8F" w:rsidRDefault="00F67B46" w:rsidP="00F67B46">
    <w:pPr>
      <w:pStyle w:val="Header"/>
      <w:jc w:val="center"/>
    </w:pPr>
    <w:r>
      <w:t xml:space="preserve">WORKSHEET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740"/>
    <w:rsid w:val="002466D0"/>
    <w:rsid w:val="004959E4"/>
    <w:rsid w:val="00617393"/>
    <w:rsid w:val="006538D5"/>
    <w:rsid w:val="00655C29"/>
    <w:rsid w:val="00966888"/>
    <w:rsid w:val="009C7B37"/>
    <w:rsid w:val="00B066D1"/>
    <w:rsid w:val="00CA46BF"/>
    <w:rsid w:val="00E00142"/>
    <w:rsid w:val="00ED5F8F"/>
    <w:rsid w:val="00F523A7"/>
    <w:rsid w:val="00F67B46"/>
    <w:rsid w:val="00F732F0"/>
    <w:rsid w:val="00F93928"/>
    <w:rsid w:val="00FB47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A8B8D-0B31-4A63-BE10-2CAA3EFC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A7"/>
    <w:pPr>
      <w:tabs>
        <w:tab w:val="center" w:pos="4513"/>
        <w:tab w:val="right" w:pos="9026"/>
      </w:tabs>
    </w:pPr>
  </w:style>
  <w:style w:type="character" w:customStyle="1" w:styleId="HeaderChar">
    <w:name w:val="Header Char"/>
    <w:basedOn w:val="DefaultParagraphFont"/>
    <w:link w:val="Header"/>
    <w:uiPriority w:val="99"/>
    <w:rsid w:val="00F523A7"/>
    <w:rPr>
      <w:sz w:val="24"/>
      <w:szCs w:val="24"/>
    </w:rPr>
  </w:style>
  <w:style w:type="paragraph" w:styleId="Footer">
    <w:name w:val="footer"/>
    <w:basedOn w:val="Normal"/>
    <w:link w:val="FooterChar"/>
    <w:uiPriority w:val="99"/>
    <w:unhideWhenUsed/>
    <w:rsid w:val="00F523A7"/>
    <w:pPr>
      <w:tabs>
        <w:tab w:val="center" w:pos="4513"/>
        <w:tab w:val="right" w:pos="9026"/>
      </w:tabs>
    </w:pPr>
  </w:style>
  <w:style w:type="character" w:customStyle="1" w:styleId="FooterChar">
    <w:name w:val="Footer Char"/>
    <w:basedOn w:val="DefaultParagraphFont"/>
    <w:link w:val="Footer"/>
    <w:uiPriority w:val="99"/>
    <w:rsid w:val="00F523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1881</Words>
  <Characters>10725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2019-08-09T21:07:00Z</dcterms:created>
  <dcterms:modified xsi:type="dcterms:W3CDTF">2019-08-09T21:07:00Z</dcterms:modified>
</cp:coreProperties>
</file>