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541316" w:rsidP="003F0D42">
      <w:pPr>
        <w:jc w:val="center"/>
        <w:rPr>
          <w:b/>
        </w:rPr>
      </w:pPr>
      <w:r>
        <w:rPr>
          <w:b/>
        </w:rPr>
        <w:t xml:space="preserve">Unit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C2542" w:rsidRDefault="00C43595" w:rsidP="00FC2542">
      <w:pPr>
        <w:jc w:val="center"/>
        <w:rPr>
          <w:b/>
        </w:rPr>
      </w:pPr>
      <w:r>
        <w:rPr>
          <w:b/>
        </w:rPr>
        <w:t>Truth and Reality</w:t>
      </w:r>
    </w:p>
    <w:p w:rsidR="00115EC5" w:rsidRPr="00CB63C1" w:rsidRDefault="00115EC5" w:rsidP="00CB63C1">
      <w:pPr>
        <w:ind w:firstLine="720"/>
        <w:rPr>
          <w:bCs/>
        </w:rPr>
      </w:pPr>
      <w:r w:rsidRPr="00CB63C1">
        <w:rPr>
          <w:bCs/>
        </w:rPr>
        <w:t xml:space="preserve">The first compelling pro fact is </w:t>
      </w:r>
      <w:r w:rsidR="00160332" w:rsidRPr="00CB63C1">
        <w:rPr>
          <w:bCs/>
        </w:rPr>
        <w:t>“18 is the age of adulthood in the United States, and adults should have the right to make their own decisions about alcohol consumption” (Gerard, 2007, p. 20).</w:t>
      </w:r>
      <w:r w:rsidR="00CB63C1" w:rsidRPr="00CB63C1">
        <w:rPr>
          <w:bCs/>
        </w:rPr>
        <w:t xml:space="preserve"> </w:t>
      </w:r>
      <w:r w:rsidR="00160332" w:rsidRPr="00CB63C1">
        <w:t xml:space="preserve">“Turning 18 entails receiving the rights and responsibilities of adulthood to vote, serve on juries, get married, sign contracts, be prosecuted as adults, and join the military – which includes risking one’s life” (Getnick, 2018, p. 8). The second compelling </w:t>
      </w:r>
      <w:r w:rsidRPr="00CB63C1">
        <w:t>pro con fact on dining age is, “</w:t>
      </w:r>
      <w:r w:rsidRPr="00CB63C1">
        <w:rPr>
          <w:bCs/>
        </w:rPr>
        <w:t>Allowing 18- to 20-year-olds to drink alcohol in regulated environments with supervision would decrease unsafe drinking activity.</w:t>
      </w:r>
      <w:r w:rsidR="00CB63C1" w:rsidRPr="00CB63C1">
        <w:rPr>
          <w:bCs/>
        </w:rPr>
        <w:t xml:space="preserve"> </w:t>
      </w:r>
      <w:r w:rsidRPr="00CB63C1">
        <w:t>Prohibiting this age group from drinking in bars, restaurants, and other licensed locations causes them to drink in unsupervised places such as fraternity houses or house parties where they may be more prone to binge drinking and other unsafe behavior” (Barber, 2020, p. 6).</w:t>
      </w:r>
    </w:p>
    <w:p w:rsidR="00CB63C1" w:rsidRDefault="00115EC5" w:rsidP="00CB63C1">
      <w:pPr>
        <w:ind w:firstLine="720"/>
      </w:pPr>
      <w:r w:rsidRPr="00CB63C1">
        <w:t xml:space="preserve">The </w:t>
      </w:r>
      <w:r w:rsidR="00CB63C1" w:rsidRPr="00CB63C1">
        <w:t>compelling</w:t>
      </w:r>
      <w:r w:rsidRPr="00CB63C1">
        <w:t xml:space="preserve"> cons for drinking age are, “</w:t>
      </w:r>
      <w:r w:rsidRPr="00CB63C1">
        <w:rPr>
          <w:bCs/>
        </w:rPr>
        <w:t>Lowering MLDA 21 would be medically irresponsible.</w:t>
      </w:r>
      <w:r w:rsidR="00CB63C1" w:rsidRPr="00CB63C1">
        <w:rPr>
          <w:bCs/>
        </w:rPr>
        <w:t xml:space="preserve"> </w:t>
      </w:r>
      <w:r w:rsidRPr="00CB63C1">
        <w:t>Alcohol consumption can interfere with development of the young adult brain’s frontal lobes, essential for functions such as emotional regulation, planning, and organization. When alcohol consumption interferes with this early adult brain development, the potential for chronic problems such as greater vulnerability to addiction, dangerous risk-taking behavior, reduced decision-making ability, memory loss, depression, violence, and suicide is greater”</w:t>
      </w:r>
      <w:r w:rsidR="00CB63C1" w:rsidRPr="00CB63C1">
        <w:t xml:space="preserve"> (Birckmayer &amp; Hemenway, 1999, p. 6). The second con states that, “</w:t>
      </w:r>
      <w:r w:rsidR="00CB63C1" w:rsidRPr="00CB63C1">
        <w:rPr>
          <w:bCs/>
        </w:rPr>
        <w:t xml:space="preserve">Lowering MLDA 21 to 18 will irresponsibly allow a greater segment of the population to drink alcohol in bars and nightclubs, which are not safe environments. </w:t>
      </w:r>
      <w:r w:rsidR="00CB63C1" w:rsidRPr="00CB63C1">
        <w:t>76% of bars have sold alcohol to obviously intoxicated patrons, and about half of drivers arrested for driving while intoxicated (DWI) or killed as alcohol-involved drivers in traffic crashes did their drinking at licensed establishments. Neighborhoods with higher densities of bars, nightclubs, and other alcohol-selling locations suffer more frequent assaults and other violent crimes” (Fell, 2013, p. 4).</w:t>
      </w: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Default="00CB63C1" w:rsidP="00CB63C1">
      <w:pPr>
        <w:ind w:firstLine="720"/>
      </w:pPr>
    </w:p>
    <w:p w:rsidR="00CB63C1" w:rsidRPr="00CB63C1" w:rsidRDefault="00CB63C1" w:rsidP="00CB63C1">
      <w:pPr>
        <w:shd w:val="clear" w:color="auto" w:fill="FFFFFF"/>
        <w:jc w:val="center"/>
        <w:rPr>
          <w:b/>
          <w:color w:val="000000"/>
        </w:rPr>
      </w:pPr>
      <w:r w:rsidRPr="00CB63C1">
        <w:rPr>
          <w:b/>
          <w:color w:val="000000"/>
        </w:rPr>
        <w:t>References</w:t>
      </w:r>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r>
        <w:rPr>
          <w:color w:val="000000"/>
        </w:rPr>
        <w:t>Barber, B. (2020). How to choose responsibly: FAQs for teachers, students, and parents. </w:t>
      </w:r>
      <w:r>
        <w:rPr>
          <w:rStyle w:val="Emphasis"/>
          <w:rFonts w:eastAsiaTheme="majorEastAsia"/>
          <w:color w:val="000000"/>
        </w:rPr>
        <w:t>American alcoholic guidance</w:t>
      </w:r>
      <w:r>
        <w:rPr>
          <w:color w:val="000000"/>
        </w:rPr>
        <w:t>, </w:t>
      </w:r>
      <w:r>
        <w:rPr>
          <w:rStyle w:val="Emphasis"/>
          <w:rFonts w:eastAsiaTheme="majorEastAsia"/>
          <w:color w:val="000000"/>
        </w:rPr>
        <w:t>70</w:t>
      </w:r>
      <w:r>
        <w:rPr>
          <w:color w:val="000000"/>
        </w:rPr>
        <w:t>(4), 23-28. </w:t>
      </w:r>
      <w:hyperlink r:id="rId7" w:history="1">
        <w:r>
          <w:rPr>
            <w:rStyle w:val="Hyperlink"/>
            <w:rFonts w:ascii="inherit" w:eastAsiaTheme="majorEastAsia" w:hAnsi="inherit"/>
            <w:color w:val="000000"/>
          </w:rPr>
          <w:t>https://doi.org/10.1177/0003131320963076</w:t>
        </w:r>
      </w:hyperlink>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r>
        <w:rPr>
          <w:color w:val="000000"/>
        </w:rPr>
        <w:t>Birckmayer, J., &amp; Hemenway, D. (1999). Minimum-age drinking laws and youth suicide, 1970-1990. </w:t>
      </w:r>
      <w:r>
        <w:rPr>
          <w:rStyle w:val="Emphasis"/>
          <w:rFonts w:eastAsiaTheme="majorEastAsia"/>
          <w:color w:val="000000"/>
        </w:rPr>
        <w:t>American Journal of Public Health</w:t>
      </w:r>
      <w:r>
        <w:rPr>
          <w:color w:val="000000"/>
        </w:rPr>
        <w:t>, </w:t>
      </w:r>
      <w:r>
        <w:rPr>
          <w:rStyle w:val="Emphasis"/>
          <w:rFonts w:eastAsiaTheme="majorEastAsia"/>
          <w:color w:val="000000"/>
        </w:rPr>
        <w:t>89</w:t>
      </w:r>
      <w:r>
        <w:rPr>
          <w:color w:val="000000"/>
        </w:rPr>
        <w:t>(9), 1365-1368. </w:t>
      </w:r>
      <w:hyperlink r:id="rId8" w:history="1">
        <w:r>
          <w:rPr>
            <w:rStyle w:val="Hyperlink"/>
            <w:rFonts w:ascii="inherit" w:eastAsiaTheme="majorEastAsia" w:hAnsi="inherit"/>
            <w:color w:val="000000"/>
          </w:rPr>
          <w:t>https://doi.org/10.2105/ajph.89.9.1365</w:t>
        </w:r>
      </w:hyperlink>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r>
        <w:rPr>
          <w:color w:val="000000"/>
        </w:rPr>
        <w:t>Fell, J. C. (2013). History and impact of minimum legal drinking age laws on alcohol use and consequences among adolescents and college students. </w:t>
      </w:r>
      <w:r>
        <w:rPr>
          <w:rStyle w:val="Emphasis"/>
          <w:rFonts w:eastAsiaTheme="majorEastAsia"/>
          <w:color w:val="000000"/>
        </w:rPr>
        <w:t>Interventions for Addiction</w:t>
      </w:r>
      <w:r>
        <w:rPr>
          <w:color w:val="000000"/>
        </w:rPr>
        <w:t>, 945-954. </w:t>
      </w:r>
      <w:hyperlink r:id="rId9" w:history="1">
        <w:r>
          <w:rPr>
            <w:rStyle w:val="Hyperlink"/>
            <w:rFonts w:ascii="inherit" w:eastAsiaTheme="majorEastAsia" w:hAnsi="inherit"/>
            <w:color w:val="000000"/>
          </w:rPr>
          <w:t>https://doi.org/10.1016/b978-0-12-398338-1.00095-6</w:t>
        </w:r>
      </w:hyperlink>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r>
        <w:rPr>
          <w:color w:val="000000"/>
        </w:rPr>
        <w:t>Gerard, J. (2007). Should we raise the age of legal drinking? </w:t>
      </w:r>
      <w:r>
        <w:rPr>
          <w:rStyle w:val="Emphasis"/>
          <w:rFonts w:eastAsiaTheme="majorEastAsia"/>
          <w:color w:val="000000"/>
        </w:rPr>
        <w:t>Public Policy Research</w:t>
      </w:r>
      <w:r>
        <w:rPr>
          <w:color w:val="000000"/>
        </w:rPr>
        <w:t>, </w:t>
      </w:r>
      <w:r>
        <w:rPr>
          <w:rStyle w:val="Emphasis"/>
          <w:rFonts w:eastAsiaTheme="majorEastAsia"/>
          <w:color w:val="000000"/>
        </w:rPr>
        <w:t>14</w:t>
      </w:r>
      <w:r>
        <w:rPr>
          <w:color w:val="000000"/>
        </w:rPr>
        <w:t>(1), 31-35. </w:t>
      </w:r>
      <w:hyperlink r:id="rId10" w:history="1">
        <w:r>
          <w:rPr>
            <w:rStyle w:val="Hyperlink"/>
            <w:rFonts w:ascii="inherit" w:eastAsiaTheme="majorEastAsia" w:hAnsi="inherit"/>
            <w:color w:val="000000"/>
          </w:rPr>
          <w:t>https://doi.org/10.1111/j.1744-540x.2007.00461.x</w:t>
        </w:r>
      </w:hyperlink>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r>
        <w:rPr>
          <w:color w:val="000000"/>
        </w:rPr>
        <w:t>Getnick, J. (2018). Amethyst initiative. </w:t>
      </w:r>
      <w:r>
        <w:rPr>
          <w:rStyle w:val="Emphasis"/>
          <w:rFonts w:eastAsiaTheme="majorEastAsia"/>
          <w:color w:val="000000"/>
        </w:rPr>
        <w:t>The SAGE Encyclopedia of Alcohol: Social, Cultural, and Historical Perspectives</w:t>
      </w:r>
      <w:r>
        <w:rPr>
          <w:color w:val="000000"/>
        </w:rPr>
        <w:t>. </w:t>
      </w:r>
      <w:hyperlink r:id="rId11" w:history="1">
        <w:r>
          <w:rPr>
            <w:rStyle w:val="Hyperlink"/>
            <w:rFonts w:ascii="inherit" w:eastAsiaTheme="majorEastAsia" w:hAnsi="inherit"/>
            <w:color w:val="000000"/>
          </w:rPr>
          <w:t>https://doi.org/10.4135/9781483331096.n40</w:t>
        </w:r>
      </w:hyperlink>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p>
    <w:p w:rsidR="00541316" w:rsidRDefault="00541316" w:rsidP="00CB63C1">
      <w:pPr>
        <w:pStyle w:val="NormalWeb"/>
        <w:shd w:val="clear" w:color="auto" w:fill="FFFFFF"/>
        <w:spacing w:before="0" w:beforeAutospacing="0" w:after="0" w:afterAutospacing="0" w:line="550" w:lineRule="atLeast"/>
        <w:ind w:left="720" w:right="75" w:hanging="720"/>
        <w:rPr>
          <w:color w:val="000000"/>
        </w:rPr>
      </w:pPr>
    </w:p>
    <w:p w:rsidR="00541316" w:rsidRDefault="00541316" w:rsidP="00CB63C1">
      <w:pPr>
        <w:pStyle w:val="NormalWeb"/>
        <w:shd w:val="clear" w:color="auto" w:fill="FFFFFF"/>
        <w:spacing w:before="0" w:beforeAutospacing="0" w:after="0" w:afterAutospacing="0" w:line="550" w:lineRule="atLeast"/>
        <w:ind w:left="720" w:right="75" w:hanging="720"/>
        <w:rPr>
          <w:color w:val="000000"/>
        </w:rPr>
      </w:pPr>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p>
    <w:p w:rsidR="00CB63C1" w:rsidRDefault="00541316" w:rsidP="00CB63C1">
      <w:pPr>
        <w:pStyle w:val="NormalWeb"/>
        <w:shd w:val="clear" w:color="auto" w:fill="FFFFFF"/>
        <w:spacing w:before="0" w:beforeAutospacing="0" w:after="0" w:afterAutospacing="0" w:line="550" w:lineRule="atLeast"/>
        <w:ind w:left="720" w:right="75" w:hanging="720"/>
        <w:rPr>
          <w:color w:val="000000"/>
        </w:rPr>
      </w:pPr>
      <w:r>
        <w:rPr>
          <w:color w:val="000000"/>
        </w:rPr>
        <w:t>Part 2</w:t>
      </w:r>
    </w:p>
    <w:p w:rsidR="00CB63C1" w:rsidRDefault="00CB63C1" w:rsidP="00CB63C1">
      <w:pPr>
        <w:pStyle w:val="NormalWeb"/>
        <w:shd w:val="clear" w:color="auto" w:fill="FFFFFF"/>
        <w:spacing w:before="0" w:beforeAutospacing="0" w:after="0" w:afterAutospacing="0" w:line="550" w:lineRule="atLeast"/>
        <w:ind w:left="720" w:right="75" w:hanging="720"/>
        <w:rPr>
          <w:color w:val="000000"/>
        </w:rPr>
      </w:pPr>
    </w:p>
    <w:p w:rsidR="002A412A" w:rsidRPr="002A412A" w:rsidRDefault="002A412A" w:rsidP="002A412A">
      <w:pPr>
        <w:numPr>
          <w:ilvl w:val="0"/>
          <w:numId w:val="12"/>
        </w:numPr>
        <w:spacing w:line="240" w:lineRule="auto"/>
        <w:rPr>
          <w:rFonts w:eastAsia="Times New Roman" w:cs="Times New Roman"/>
          <w:b/>
          <w:color w:val="000000"/>
        </w:rPr>
      </w:pPr>
      <w:r w:rsidRPr="002A412A">
        <w:rPr>
          <w:rFonts w:eastAsia="Times New Roman" w:cs="Times New Roman"/>
          <w:b/>
          <w:i/>
          <w:iCs/>
          <w:color w:val="000000"/>
          <w:bdr w:val="none" w:sz="0" w:space="0" w:color="auto" w:frame="1"/>
        </w:rPr>
        <w:t xml:space="preserve">If you found something at a yard sale that was far more </w:t>
      </w:r>
      <w:r w:rsidR="00541316" w:rsidRPr="002A412A">
        <w:rPr>
          <w:rFonts w:eastAsia="Times New Roman" w:cs="Times New Roman"/>
          <w:b/>
          <w:i/>
          <w:iCs/>
          <w:color w:val="000000"/>
          <w:bdr w:val="none" w:sz="0" w:space="0" w:color="auto" w:frame="1"/>
        </w:rPr>
        <w:t>valuable than</w:t>
      </w:r>
      <w:r w:rsidRPr="002A412A">
        <w:rPr>
          <w:rFonts w:eastAsia="Times New Roman" w:cs="Times New Roman"/>
          <w:b/>
          <w:i/>
          <w:iCs/>
          <w:color w:val="000000"/>
          <w:bdr w:val="none" w:sz="0" w:space="0" w:color="auto" w:frame="1"/>
        </w:rPr>
        <w:t xml:space="preserve"> the posted price, would you let the seller know?</w:t>
      </w:r>
    </w:p>
    <w:p w:rsidR="002A412A" w:rsidRDefault="002A412A" w:rsidP="002A412A">
      <w:pPr>
        <w:pStyle w:val="NormalWeb"/>
        <w:shd w:val="clear" w:color="auto" w:fill="FFFFFF"/>
        <w:spacing w:before="0" w:beforeAutospacing="0" w:after="0" w:afterAutospacing="0" w:line="550" w:lineRule="atLeast"/>
        <w:ind w:left="720" w:right="75"/>
        <w:rPr>
          <w:color w:val="000000"/>
        </w:rPr>
      </w:pPr>
      <w:r>
        <w:rPr>
          <w:color w:val="000000"/>
        </w:rPr>
        <w:t>In this scenario, most people would not let the seller know. However, I feel that it is right to let the seller know that the item in the yard sale is more valuable than the price tag posted. There is an ethical dilemma in this situation, the situation at hand first, it would be the buyer</w:t>
      </w:r>
      <w:r w:rsidR="00541316">
        <w:rPr>
          <w:color w:val="000000"/>
        </w:rPr>
        <w:t>’</w:t>
      </w:r>
      <w:r>
        <w:rPr>
          <w:color w:val="000000"/>
        </w:rPr>
        <w:t>s advantage to get the expensive item at a cheaper price by not letting the</w:t>
      </w:r>
      <w:r w:rsidR="00541316">
        <w:rPr>
          <w:color w:val="000000"/>
        </w:rPr>
        <w:t>m</w:t>
      </w:r>
      <w:r>
        <w:rPr>
          <w:color w:val="000000"/>
        </w:rPr>
        <w:t xml:space="preserve"> know, and it would be the buyer</w:t>
      </w:r>
      <w:r w:rsidR="00541316">
        <w:rPr>
          <w:color w:val="000000"/>
        </w:rPr>
        <w:t>’</w:t>
      </w:r>
      <w:r>
        <w:rPr>
          <w:color w:val="000000"/>
        </w:rPr>
        <w:t>s advantage and the seller’s disadvantage. On the other hand, it is also wrong not to tell the seller of the wrong price tag since it appears like stealing, in</w:t>
      </w:r>
      <w:r w:rsidR="00541316">
        <w:rPr>
          <w:color w:val="000000"/>
        </w:rPr>
        <w:t xml:space="preserve"> taking the advantage of the</w:t>
      </w:r>
      <w:r>
        <w:rPr>
          <w:color w:val="000000"/>
        </w:rPr>
        <w:t xml:space="preserve"> situation. Thus the dilemma lies between doing right to th</w:t>
      </w:r>
      <w:r w:rsidR="00541316">
        <w:rPr>
          <w:color w:val="000000"/>
        </w:rPr>
        <w:t>e</w:t>
      </w:r>
      <w:r>
        <w:rPr>
          <w:color w:val="000000"/>
        </w:rPr>
        <w:t xml:space="preserve"> advantage of the seller </w:t>
      </w:r>
      <w:r w:rsidR="00541316">
        <w:rPr>
          <w:color w:val="000000"/>
        </w:rPr>
        <w:t>and</w:t>
      </w:r>
      <w:r>
        <w:rPr>
          <w:color w:val="000000"/>
        </w:rPr>
        <w:t xml:space="preserve"> doing wro</w:t>
      </w:r>
      <w:r w:rsidR="00541316">
        <w:rPr>
          <w:color w:val="000000"/>
        </w:rPr>
        <w:t>n</w:t>
      </w:r>
      <w:r>
        <w:rPr>
          <w:color w:val="000000"/>
        </w:rPr>
        <w:t>g to the buyer’s advantage</w:t>
      </w:r>
    </w:p>
    <w:p w:rsidR="00CB63C1" w:rsidRDefault="002A412A" w:rsidP="002A412A">
      <w:pPr>
        <w:pStyle w:val="NormalWeb"/>
        <w:shd w:val="clear" w:color="auto" w:fill="FFFFFF"/>
        <w:spacing w:before="0" w:beforeAutospacing="0" w:after="0" w:afterAutospacing="0" w:line="550" w:lineRule="atLeast"/>
        <w:ind w:left="720" w:right="75"/>
        <w:rPr>
          <w:color w:val="000000"/>
        </w:rPr>
      </w:pPr>
      <w:r>
        <w:rPr>
          <w:color w:val="000000"/>
        </w:rPr>
        <w:t>.</w:t>
      </w:r>
    </w:p>
    <w:p w:rsidR="002A412A" w:rsidRDefault="002A412A" w:rsidP="002A412A">
      <w:pPr>
        <w:pStyle w:val="ListParagraph"/>
        <w:numPr>
          <w:ilvl w:val="0"/>
          <w:numId w:val="12"/>
        </w:numPr>
        <w:rPr>
          <w:rFonts w:eastAsia="Times New Roman" w:cs="Times New Roman"/>
          <w:b/>
          <w:i/>
          <w:color w:val="000000"/>
        </w:rPr>
      </w:pPr>
      <w:r w:rsidRPr="002A412A">
        <w:rPr>
          <w:rFonts w:eastAsia="Times New Roman" w:cs="Times New Roman"/>
          <w:b/>
          <w:i/>
          <w:color w:val="000000"/>
        </w:rPr>
        <w:t>If someone tells an offensive joke, is it my responsibility to speak up about it?</w:t>
      </w:r>
    </w:p>
    <w:p w:rsidR="002A412A" w:rsidRDefault="002A412A" w:rsidP="002A412A">
      <w:pPr>
        <w:pStyle w:val="ListParagraph"/>
        <w:rPr>
          <w:rFonts w:eastAsia="Times New Roman" w:cs="Times New Roman"/>
          <w:color w:val="000000"/>
        </w:rPr>
      </w:pPr>
      <w:r>
        <w:rPr>
          <w:rFonts w:eastAsia="Times New Roman" w:cs="Times New Roman"/>
          <w:color w:val="000000"/>
        </w:rPr>
        <w:t xml:space="preserve">Many people would get angry and </w:t>
      </w:r>
      <w:r w:rsidR="00541316">
        <w:rPr>
          <w:rFonts w:eastAsia="Times New Roman" w:cs="Times New Roman"/>
          <w:color w:val="000000"/>
        </w:rPr>
        <w:t>overreact</w:t>
      </w:r>
      <w:r>
        <w:rPr>
          <w:rFonts w:eastAsia="Times New Roman" w:cs="Times New Roman"/>
          <w:color w:val="000000"/>
        </w:rPr>
        <w:t xml:space="preserve">. As for me I would keep </w:t>
      </w:r>
      <w:r w:rsidR="00541316">
        <w:rPr>
          <w:rFonts w:eastAsia="Times New Roman" w:cs="Times New Roman"/>
          <w:color w:val="000000"/>
        </w:rPr>
        <w:t>quiet</w:t>
      </w:r>
      <w:r>
        <w:rPr>
          <w:rFonts w:eastAsia="Times New Roman" w:cs="Times New Roman"/>
          <w:color w:val="000000"/>
        </w:rPr>
        <w:t xml:space="preserve"> and walk away. I feel that there is no ethical dilemma in th</w:t>
      </w:r>
      <w:r w:rsidR="00541316">
        <w:rPr>
          <w:rFonts w:eastAsia="Times New Roman" w:cs="Times New Roman"/>
          <w:color w:val="000000"/>
        </w:rPr>
        <w:t>i</w:t>
      </w:r>
      <w:r>
        <w:rPr>
          <w:rFonts w:eastAsia="Times New Roman" w:cs="Times New Roman"/>
          <w:color w:val="000000"/>
        </w:rPr>
        <w:t>s scenario and thus it would not affect my response in any way.</w:t>
      </w:r>
    </w:p>
    <w:p w:rsidR="00541316" w:rsidRPr="00541316" w:rsidRDefault="00541316" w:rsidP="00541316">
      <w:pPr>
        <w:pStyle w:val="ListParagraph"/>
        <w:numPr>
          <w:ilvl w:val="0"/>
          <w:numId w:val="12"/>
        </w:numPr>
        <w:rPr>
          <w:rFonts w:eastAsia="Times New Roman" w:cs="Times New Roman"/>
          <w:b/>
          <w:color w:val="000000"/>
        </w:rPr>
      </w:pPr>
      <w:r w:rsidRPr="00541316">
        <w:rPr>
          <w:rFonts w:eastAsia="Times New Roman" w:cs="Times New Roman"/>
          <w:b/>
          <w:i/>
          <w:iCs/>
          <w:color w:val="000000"/>
        </w:rPr>
        <w:t>Is it ever ok to sneak a peek at your significant other's email?</w:t>
      </w:r>
    </w:p>
    <w:p w:rsidR="002A412A" w:rsidRDefault="00541316" w:rsidP="002A412A">
      <w:pPr>
        <w:pStyle w:val="ListParagraph"/>
        <w:rPr>
          <w:rFonts w:eastAsia="Times New Roman" w:cs="Times New Roman"/>
          <w:color w:val="000000"/>
        </w:rPr>
      </w:pPr>
      <w:r>
        <w:rPr>
          <w:rFonts w:eastAsia="Times New Roman" w:cs="Times New Roman"/>
          <w:color w:val="000000"/>
        </w:rPr>
        <w:t>Many people would agree to the statement. I also believes it is okay since we share everything with my significant other. The ethical dilemma in this scenario is that, peeking at their email, breaches their privacy and also not peeking on their email, one might not find if they are cheating. Thus the dilemma would influence my response to ensure they are not cheating since trust needs proof.</w:t>
      </w:r>
    </w:p>
    <w:p w:rsidR="00541316" w:rsidRPr="00541316" w:rsidRDefault="00541316" w:rsidP="00541316">
      <w:pPr>
        <w:pStyle w:val="ListParagraph"/>
        <w:numPr>
          <w:ilvl w:val="0"/>
          <w:numId w:val="12"/>
        </w:numPr>
        <w:rPr>
          <w:rFonts w:eastAsia="Times New Roman" w:cs="Times New Roman"/>
          <w:b/>
          <w:i/>
          <w:color w:val="000000"/>
        </w:rPr>
      </w:pPr>
      <w:r w:rsidRPr="00541316">
        <w:rPr>
          <w:rFonts w:eastAsia="Times New Roman" w:cs="Times New Roman"/>
          <w:b/>
          <w:i/>
          <w:color w:val="000000"/>
        </w:rPr>
        <w:t>My boss asked me to cover for him on his expense report by saying I was at a meal when I wasn’t. Should I do it?</w:t>
      </w:r>
    </w:p>
    <w:p w:rsidR="00541316" w:rsidRPr="002A412A" w:rsidRDefault="00541316" w:rsidP="00541316">
      <w:pPr>
        <w:pStyle w:val="ListParagraph"/>
        <w:rPr>
          <w:rFonts w:eastAsia="Times New Roman" w:cs="Times New Roman"/>
          <w:color w:val="000000"/>
        </w:rPr>
      </w:pPr>
      <w:r>
        <w:rPr>
          <w:rFonts w:eastAsia="Times New Roman" w:cs="Times New Roman"/>
          <w:color w:val="000000"/>
        </w:rPr>
        <w:t>Not everyone would agree, but some may agree. I personally will not agree. The dilemma is that disobeying the boss means risking losing my job, while agreeing to it means not maintaining integrity of conduct and allowing for corrupt and unaccounted for expenditure. This would get me thinking a lot, and losing my job would be the last option.</w:t>
      </w:r>
    </w:p>
    <w:p w:rsidR="00CB63C1" w:rsidRPr="00CB63C1" w:rsidRDefault="00CB63C1" w:rsidP="00CB63C1">
      <w:pPr>
        <w:ind w:firstLine="720"/>
        <w:jc w:val="center"/>
        <w:rPr>
          <w:bCs/>
        </w:rPr>
      </w:pPr>
    </w:p>
    <w:p w:rsidR="00115EC5" w:rsidRPr="00CB63C1" w:rsidRDefault="00115EC5" w:rsidP="00115EC5"/>
    <w:p w:rsidR="00115EC5" w:rsidRPr="00CB63C1" w:rsidRDefault="00115EC5" w:rsidP="00115EC5"/>
    <w:p w:rsidR="00160332" w:rsidRPr="00CB63C1" w:rsidRDefault="00160332" w:rsidP="00160332"/>
    <w:p w:rsidR="00160332" w:rsidRPr="00CB63C1" w:rsidRDefault="00160332" w:rsidP="00160332"/>
    <w:sectPr w:rsidR="00160332" w:rsidRPr="00CB63C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61BD2" w:rsidRDefault="00761BD2">
      <w:pPr>
        <w:spacing w:line="240" w:lineRule="auto"/>
      </w:pPr>
      <w:r>
        <w:separator/>
      </w:r>
    </w:p>
  </w:endnote>
  <w:endnote w:type="continuationSeparator" w:id="0">
    <w:p w:rsidR="00761BD2" w:rsidRDefault="00761B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Noto Serif Kannad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61BD2" w:rsidRDefault="00761BD2">
      <w:pPr>
        <w:spacing w:line="240" w:lineRule="auto"/>
      </w:pPr>
      <w:r>
        <w:separator/>
      </w:r>
    </w:p>
  </w:footnote>
  <w:footnote w:type="continuationSeparator" w:id="0">
    <w:p w:rsidR="00761BD2" w:rsidRDefault="00761B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7B111D">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9C7D3B"/>
    <w:multiLevelType w:val="multilevel"/>
    <w:tmpl w:val="4AE4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081D3F"/>
    <w:multiLevelType w:val="hybridMultilevel"/>
    <w:tmpl w:val="9F565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B34828"/>
    <w:multiLevelType w:val="hybridMultilevel"/>
    <w:tmpl w:val="EAD6C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9D1BD2"/>
    <w:multiLevelType w:val="hybridMultilevel"/>
    <w:tmpl w:val="264E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BA689F"/>
    <w:multiLevelType w:val="hybridMultilevel"/>
    <w:tmpl w:val="CDC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2"/>
  </w:num>
  <w:num w:numId="5">
    <w:abstractNumId w:val="0"/>
  </w:num>
  <w:num w:numId="6">
    <w:abstractNumId w:val="4"/>
  </w:num>
  <w:num w:numId="7">
    <w:abstractNumId w:val="3"/>
  </w:num>
  <w:num w:numId="8">
    <w:abstractNumId w:val="12"/>
  </w:num>
  <w:num w:numId="9">
    <w:abstractNumId w:val="9"/>
  </w:num>
  <w:num w:numId="10">
    <w:abstractNumId w:val="11"/>
  </w:num>
  <w:num w:numId="11">
    <w:abstractNumId w:val="1"/>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321AC"/>
    <w:rsid w:val="000600AC"/>
    <w:rsid w:val="00063BA0"/>
    <w:rsid w:val="00075647"/>
    <w:rsid w:val="000759F1"/>
    <w:rsid w:val="00081FA7"/>
    <w:rsid w:val="0009165B"/>
    <w:rsid w:val="000A36AA"/>
    <w:rsid w:val="000C0598"/>
    <w:rsid w:val="000C38F4"/>
    <w:rsid w:val="000C6B49"/>
    <w:rsid w:val="000E76EC"/>
    <w:rsid w:val="000F0BB3"/>
    <w:rsid w:val="000F31F9"/>
    <w:rsid w:val="00115EC5"/>
    <w:rsid w:val="00120BBD"/>
    <w:rsid w:val="00124F53"/>
    <w:rsid w:val="00145F5F"/>
    <w:rsid w:val="00160332"/>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76261"/>
    <w:rsid w:val="002A0DB2"/>
    <w:rsid w:val="002A412A"/>
    <w:rsid w:val="002C13A8"/>
    <w:rsid w:val="002C13E8"/>
    <w:rsid w:val="002D5E9F"/>
    <w:rsid w:val="002F2F9F"/>
    <w:rsid w:val="003021F2"/>
    <w:rsid w:val="00331FD9"/>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5FFD"/>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A2443"/>
    <w:rsid w:val="004B1FD2"/>
    <w:rsid w:val="004B4CD9"/>
    <w:rsid w:val="004D1684"/>
    <w:rsid w:val="004D3B84"/>
    <w:rsid w:val="004D45E9"/>
    <w:rsid w:val="004E0111"/>
    <w:rsid w:val="004F753A"/>
    <w:rsid w:val="005171D5"/>
    <w:rsid w:val="005224A6"/>
    <w:rsid w:val="00540E4D"/>
    <w:rsid w:val="00541316"/>
    <w:rsid w:val="005452CB"/>
    <w:rsid w:val="00560BAD"/>
    <w:rsid w:val="00561310"/>
    <w:rsid w:val="0056174D"/>
    <w:rsid w:val="00565241"/>
    <w:rsid w:val="00566FB6"/>
    <w:rsid w:val="00583224"/>
    <w:rsid w:val="005960A7"/>
    <w:rsid w:val="005C5302"/>
    <w:rsid w:val="005C79BE"/>
    <w:rsid w:val="005C7ABB"/>
    <w:rsid w:val="005F6BCA"/>
    <w:rsid w:val="006047C7"/>
    <w:rsid w:val="006052FF"/>
    <w:rsid w:val="00624550"/>
    <w:rsid w:val="00625D39"/>
    <w:rsid w:val="00630C02"/>
    <w:rsid w:val="006313E1"/>
    <w:rsid w:val="00632D44"/>
    <w:rsid w:val="00634851"/>
    <w:rsid w:val="006451C0"/>
    <w:rsid w:val="00653295"/>
    <w:rsid w:val="00655AF5"/>
    <w:rsid w:val="006570A1"/>
    <w:rsid w:val="00660F83"/>
    <w:rsid w:val="00666D64"/>
    <w:rsid w:val="00686A0F"/>
    <w:rsid w:val="00690E4D"/>
    <w:rsid w:val="00691149"/>
    <w:rsid w:val="00691630"/>
    <w:rsid w:val="0069461A"/>
    <w:rsid w:val="006972B3"/>
    <w:rsid w:val="006A79C2"/>
    <w:rsid w:val="006C1489"/>
    <w:rsid w:val="006C5C78"/>
    <w:rsid w:val="006D4C1F"/>
    <w:rsid w:val="006E077E"/>
    <w:rsid w:val="006E71C9"/>
    <w:rsid w:val="00715009"/>
    <w:rsid w:val="00721B40"/>
    <w:rsid w:val="00722D6C"/>
    <w:rsid w:val="007260DA"/>
    <w:rsid w:val="00731AE5"/>
    <w:rsid w:val="007470DA"/>
    <w:rsid w:val="007502D7"/>
    <w:rsid w:val="0075764E"/>
    <w:rsid w:val="00761BD2"/>
    <w:rsid w:val="00772074"/>
    <w:rsid w:val="0079335F"/>
    <w:rsid w:val="0079570A"/>
    <w:rsid w:val="007967EE"/>
    <w:rsid w:val="007B111D"/>
    <w:rsid w:val="007B5083"/>
    <w:rsid w:val="007D4F76"/>
    <w:rsid w:val="007E2F04"/>
    <w:rsid w:val="008028B9"/>
    <w:rsid w:val="00834CDE"/>
    <w:rsid w:val="0083695E"/>
    <w:rsid w:val="00842CAC"/>
    <w:rsid w:val="00863812"/>
    <w:rsid w:val="0087264E"/>
    <w:rsid w:val="008768E7"/>
    <w:rsid w:val="00880CF6"/>
    <w:rsid w:val="0088795B"/>
    <w:rsid w:val="008A7297"/>
    <w:rsid w:val="008A7879"/>
    <w:rsid w:val="008C6F8C"/>
    <w:rsid w:val="008E00AD"/>
    <w:rsid w:val="009053C7"/>
    <w:rsid w:val="0091686E"/>
    <w:rsid w:val="00944D63"/>
    <w:rsid w:val="00947FB0"/>
    <w:rsid w:val="00957BC2"/>
    <w:rsid w:val="00961CE2"/>
    <w:rsid w:val="009644D8"/>
    <w:rsid w:val="00964989"/>
    <w:rsid w:val="009662FF"/>
    <w:rsid w:val="00975D54"/>
    <w:rsid w:val="009850FC"/>
    <w:rsid w:val="0099125E"/>
    <w:rsid w:val="009A765F"/>
    <w:rsid w:val="009B1B18"/>
    <w:rsid w:val="009B25E5"/>
    <w:rsid w:val="009B3752"/>
    <w:rsid w:val="009B7205"/>
    <w:rsid w:val="009C7A5C"/>
    <w:rsid w:val="009D7A86"/>
    <w:rsid w:val="009E4511"/>
    <w:rsid w:val="009E5D40"/>
    <w:rsid w:val="009F00F5"/>
    <w:rsid w:val="009F2886"/>
    <w:rsid w:val="009F6E4A"/>
    <w:rsid w:val="00A1124A"/>
    <w:rsid w:val="00A13F9F"/>
    <w:rsid w:val="00A23BE7"/>
    <w:rsid w:val="00A459BB"/>
    <w:rsid w:val="00A45FE3"/>
    <w:rsid w:val="00A66742"/>
    <w:rsid w:val="00A82497"/>
    <w:rsid w:val="00A91386"/>
    <w:rsid w:val="00AD1A0E"/>
    <w:rsid w:val="00AE4B84"/>
    <w:rsid w:val="00AF0A10"/>
    <w:rsid w:val="00AF1AE2"/>
    <w:rsid w:val="00AF6A44"/>
    <w:rsid w:val="00B15808"/>
    <w:rsid w:val="00B23936"/>
    <w:rsid w:val="00B32241"/>
    <w:rsid w:val="00B32C27"/>
    <w:rsid w:val="00B508AE"/>
    <w:rsid w:val="00B52041"/>
    <w:rsid w:val="00B64F7B"/>
    <w:rsid w:val="00B66DFC"/>
    <w:rsid w:val="00B752FC"/>
    <w:rsid w:val="00B757CF"/>
    <w:rsid w:val="00B81FAD"/>
    <w:rsid w:val="00B905A4"/>
    <w:rsid w:val="00B9754E"/>
    <w:rsid w:val="00B97F3A"/>
    <w:rsid w:val="00BA136C"/>
    <w:rsid w:val="00BD2742"/>
    <w:rsid w:val="00BD679A"/>
    <w:rsid w:val="00BF4FE5"/>
    <w:rsid w:val="00C05A01"/>
    <w:rsid w:val="00C31181"/>
    <w:rsid w:val="00C41DBB"/>
    <w:rsid w:val="00C43595"/>
    <w:rsid w:val="00C80580"/>
    <w:rsid w:val="00C809CD"/>
    <w:rsid w:val="00C9094B"/>
    <w:rsid w:val="00C91E45"/>
    <w:rsid w:val="00CA4F24"/>
    <w:rsid w:val="00CB44B3"/>
    <w:rsid w:val="00CB63C1"/>
    <w:rsid w:val="00CC09E7"/>
    <w:rsid w:val="00CC29E4"/>
    <w:rsid w:val="00CC5BE6"/>
    <w:rsid w:val="00CD39C5"/>
    <w:rsid w:val="00CD3B8F"/>
    <w:rsid w:val="00CD5ED4"/>
    <w:rsid w:val="00CD757A"/>
    <w:rsid w:val="00CE1E77"/>
    <w:rsid w:val="00CF0AF9"/>
    <w:rsid w:val="00D04CB6"/>
    <w:rsid w:val="00D142B1"/>
    <w:rsid w:val="00D37933"/>
    <w:rsid w:val="00D403D9"/>
    <w:rsid w:val="00D51E6A"/>
    <w:rsid w:val="00D57777"/>
    <w:rsid w:val="00D61540"/>
    <w:rsid w:val="00D64379"/>
    <w:rsid w:val="00D663EA"/>
    <w:rsid w:val="00D663EE"/>
    <w:rsid w:val="00D80C49"/>
    <w:rsid w:val="00D84EF6"/>
    <w:rsid w:val="00D92C02"/>
    <w:rsid w:val="00D965B7"/>
    <w:rsid w:val="00DB4A14"/>
    <w:rsid w:val="00DC4769"/>
    <w:rsid w:val="00DD0DFC"/>
    <w:rsid w:val="00DD7752"/>
    <w:rsid w:val="00E0050B"/>
    <w:rsid w:val="00E01566"/>
    <w:rsid w:val="00E04E9D"/>
    <w:rsid w:val="00E15592"/>
    <w:rsid w:val="00E21F88"/>
    <w:rsid w:val="00E22B6B"/>
    <w:rsid w:val="00E53D6D"/>
    <w:rsid w:val="00E57A3A"/>
    <w:rsid w:val="00E7628F"/>
    <w:rsid w:val="00E966D6"/>
    <w:rsid w:val="00EA03FB"/>
    <w:rsid w:val="00ED2199"/>
    <w:rsid w:val="00EE3E92"/>
    <w:rsid w:val="00EE5948"/>
    <w:rsid w:val="00EE792D"/>
    <w:rsid w:val="00F1331F"/>
    <w:rsid w:val="00F14BA6"/>
    <w:rsid w:val="00F353B3"/>
    <w:rsid w:val="00F41CC4"/>
    <w:rsid w:val="00F52AC1"/>
    <w:rsid w:val="00F616BD"/>
    <w:rsid w:val="00F644EF"/>
    <w:rsid w:val="00F70B68"/>
    <w:rsid w:val="00F82CE4"/>
    <w:rsid w:val="00FB74F7"/>
    <w:rsid w:val="00FC2542"/>
    <w:rsid w:val="00FC61A3"/>
    <w:rsid w:val="00FF0321"/>
    <w:rsid w:val="00FF1F16"/>
    <w:rsid w:val="00FF2B72"/>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16033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 w:type="character" w:customStyle="1" w:styleId="Heading4Char">
    <w:name w:val="Heading 4 Char"/>
    <w:basedOn w:val="DefaultParagraphFont"/>
    <w:link w:val="Heading4"/>
    <w:uiPriority w:val="9"/>
    <w:semiHidden/>
    <w:rsid w:val="00160332"/>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87318011">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03237468">
      <w:bodyDiv w:val="1"/>
      <w:marLeft w:val="0"/>
      <w:marRight w:val="0"/>
      <w:marTop w:val="0"/>
      <w:marBottom w:val="0"/>
      <w:divBdr>
        <w:top w:val="none" w:sz="0" w:space="0" w:color="auto"/>
        <w:left w:val="none" w:sz="0" w:space="0" w:color="auto"/>
        <w:bottom w:val="none" w:sz="0" w:space="0" w:color="auto"/>
        <w:right w:val="none" w:sz="0" w:space="0" w:color="auto"/>
      </w:divBdr>
    </w:div>
    <w:div w:id="325018555">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10908368">
      <w:bodyDiv w:val="1"/>
      <w:marLeft w:val="0"/>
      <w:marRight w:val="0"/>
      <w:marTop w:val="0"/>
      <w:marBottom w:val="0"/>
      <w:divBdr>
        <w:top w:val="none" w:sz="0" w:space="0" w:color="auto"/>
        <w:left w:val="none" w:sz="0" w:space="0" w:color="auto"/>
        <w:bottom w:val="none" w:sz="0" w:space="0" w:color="auto"/>
        <w:right w:val="none" w:sz="0" w:space="0" w:color="auto"/>
      </w:divBdr>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877855108">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936869487">
      <w:bodyDiv w:val="1"/>
      <w:marLeft w:val="0"/>
      <w:marRight w:val="0"/>
      <w:marTop w:val="0"/>
      <w:marBottom w:val="0"/>
      <w:divBdr>
        <w:top w:val="none" w:sz="0" w:space="0" w:color="auto"/>
        <w:left w:val="none" w:sz="0" w:space="0" w:color="auto"/>
        <w:bottom w:val="none" w:sz="0" w:space="0" w:color="auto"/>
        <w:right w:val="none" w:sz="0" w:space="0" w:color="auto"/>
      </w:divBdr>
    </w:div>
    <w:div w:id="948780638">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298754990">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473133105">
      <w:bodyDiv w:val="1"/>
      <w:marLeft w:val="0"/>
      <w:marRight w:val="0"/>
      <w:marTop w:val="0"/>
      <w:marBottom w:val="0"/>
      <w:divBdr>
        <w:top w:val="none" w:sz="0" w:space="0" w:color="auto"/>
        <w:left w:val="none" w:sz="0" w:space="0" w:color="auto"/>
        <w:bottom w:val="none" w:sz="0" w:space="0" w:color="auto"/>
        <w:right w:val="none" w:sz="0" w:space="0" w:color="auto"/>
      </w:divBdr>
    </w:div>
    <w:div w:id="1609197625">
      <w:bodyDiv w:val="1"/>
      <w:marLeft w:val="0"/>
      <w:marRight w:val="0"/>
      <w:marTop w:val="0"/>
      <w:marBottom w:val="0"/>
      <w:divBdr>
        <w:top w:val="none" w:sz="0" w:space="0" w:color="auto"/>
        <w:left w:val="none" w:sz="0" w:space="0" w:color="auto"/>
        <w:bottom w:val="none" w:sz="0" w:space="0" w:color="auto"/>
        <w:right w:val="none" w:sz="0" w:space="0" w:color="auto"/>
      </w:divBdr>
    </w:div>
    <w:div w:id="1611159657">
      <w:bodyDiv w:val="1"/>
      <w:marLeft w:val="0"/>
      <w:marRight w:val="0"/>
      <w:marTop w:val="0"/>
      <w:marBottom w:val="0"/>
      <w:divBdr>
        <w:top w:val="none" w:sz="0" w:space="0" w:color="auto"/>
        <w:left w:val="none" w:sz="0" w:space="0" w:color="auto"/>
        <w:bottom w:val="none" w:sz="0" w:space="0" w:color="auto"/>
        <w:right w:val="none" w:sz="0" w:space="0" w:color="auto"/>
      </w:divBdr>
    </w:div>
    <w:div w:id="1699618427">
      <w:bodyDiv w:val="1"/>
      <w:marLeft w:val="0"/>
      <w:marRight w:val="0"/>
      <w:marTop w:val="0"/>
      <w:marBottom w:val="0"/>
      <w:divBdr>
        <w:top w:val="none" w:sz="0" w:space="0" w:color="auto"/>
        <w:left w:val="none" w:sz="0" w:space="0" w:color="auto"/>
        <w:bottom w:val="none" w:sz="0" w:space="0" w:color="auto"/>
        <w:right w:val="none" w:sz="0" w:space="0" w:color="auto"/>
      </w:divBdr>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21920012">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30457117">
      <w:bodyDiv w:val="1"/>
      <w:marLeft w:val="0"/>
      <w:marRight w:val="0"/>
      <w:marTop w:val="0"/>
      <w:marBottom w:val="0"/>
      <w:divBdr>
        <w:top w:val="none" w:sz="0" w:space="0" w:color="auto"/>
        <w:left w:val="none" w:sz="0" w:space="0" w:color="auto"/>
        <w:bottom w:val="none" w:sz="0" w:space="0" w:color="auto"/>
        <w:right w:val="none" w:sz="0" w:space="0" w:color="auto"/>
      </w:divBdr>
    </w:div>
    <w:div w:id="203511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05/ajph.89.9.1365" TargetMode="Externa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doi.org/10.1177/0003131320963076" TargetMode="External" /><Relationship Id="rId12"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doi.org/10.4135/9781483331096.n40" TargetMode="External" /><Relationship Id="rId5" Type="http://schemas.openxmlformats.org/officeDocument/2006/relationships/footnotes" Target="footnotes.xml" /><Relationship Id="rId10" Type="http://schemas.openxmlformats.org/officeDocument/2006/relationships/hyperlink" Target="https://doi.org/10.1111/j.1744-540x.2007.00461.x" TargetMode="External" /><Relationship Id="rId4" Type="http://schemas.openxmlformats.org/officeDocument/2006/relationships/webSettings" Target="webSettings.xml" /><Relationship Id="rId9" Type="http://schemas.openxmlformats.org/officeDocument/2006/relationships/hyperlink" Target="https://doi.org/10.1016/b978-0-12-398338-1.00095-6"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2021-02-08T20:26:00Z</dcterms:created>
  <dcterms:modified xsi:type="dcterms:W3CDTF">2021-02-08T20:26:00Z</dcterms:modified>
</cp:coreProperties>
</file>