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rPr>
          <w:b/>
        </w:rPr>
      </w:pPr>
      <w:r>
        <w:rPr>
          <w:b/>
        </w:rPr>
        <w:t>Q1.</w:t>
      </w:r>
    </w:p>
    <w:p>
      <w:pPr>
        <w:pStyle w:val="style0"/>
        <w:rPr/>
      </w:pPr>
      <w:r>
        <w:t xml:space="preserve">Considering </w:t>
      </w:r>
      <w:r>
        <w:t>triangle  Δ</w:t>
      </w:r>
      <w:r>
        <w:rPr>
          <w:rFonts w:ascii="Cambria Math" w:cs="Cambria Math" w:hAnsi="Cambria Math"/>
        </w:rPr>
        <w:t>𝑂𝐴𝐵</w:t>
      </w:r>
      <w:r>
        <w:t xml:space="preserve">  below </w:t>
      </w:r>
    </w:p>
    <w:p>
      <w:pPr>
        <w:pStyle w:val="style0"/>
        <w:rPr/>
      </w:pPr>
      <w:r>
        <w:rPr>
          <w:noProof/>
        </w:rPr>
        <w:drawing>
          <wp:inline distL="0" distT="0" distB="0" distR="0">
            <wp:extent cx="2762250" cy="2219325"/>
            <wp:effectExtent l="0" t="0" r="0" b="9525"/>
            <wp:docPr id="1026" name="Picture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 cstate="print"/>
                    <a:srcRect l="0" t="0" r="0" b="0"/>
                    <a:stretch/>
                  </pic:blipFill>
                  <pic:spPr>
                    <a:xfrm rot="0">
                      <a:off x="0" y="0"/>
                      <a:ext cx="2762250" cy="2219325"/>
                    </a:xfrm>
                    <a:prstGeom prst="rect"/>
                  </pic:spPr>
                </pic:pic>
              </a:graphicData>
            </a:graphic>
          </wp:inline>
        </w:drawing>
      </w:r>
    </w:p>
    <w:p>
      <w:pPr>
        <w:pStyle w:val="style0"/>
        <w:rPr/>
      </w:pPr>
      <w:r>
        <w:t>The triangle has proportions when no explicit coordinates are given. Let’s determine in which proportions the intersection of two midpoint bisectors of a triangle divide the bisectors.</w:t>
      </w:r>
    </w:p>
    <w:p>
      <w:pPr>
        <w:pStyle w:val="style0"/>
        <w:rPr/>
      </w:pPr>
      <w:r>
        <w:rPr>
          <w:rFonts w:ascii="Cambria Math" w:cs="Cambria Math" w:hAnsi="Cambria Math"/>
        </w:rPr>
        <w:t>𝐴</w:t>
      </w:r>
      <w:r>
        <w:t xml:space="preserve">′ and </w:t>
      </w:r>
      <w:r>
        <w:rPr>
          <w:rFonts w:ascii="Cambria Math" w:cs="Cambria Math" w:hAnsi="Cambria Math"/>
        </w:rPr>
        <w:t>𝐵</w:t>
      </w:r>
      <w:r>
        <w:t xml:space="preserve">′ be the midpoints of </w:t>
      </w:r>
      <w:r>
        <w:rPr>
          <w:rFonts w:ascii="Cambria Math" w:cs="Cambria Math" w:hAnsi="Cambria Math"/>
        </w:rPr>
        <w:t>𝑂𝐴</w:t>
      </w:r>
      <w:r>
        <w:t xml:space="preserve"> and </w:t>
      </w:r>
      <w:r>
        <w:rPr>
          <w:rFonts w:ascii="Cambria Math" w:cs="Cambria Math" w:hAnsi="Cambria Math"/>
        </w:rPr>
        <w:t>𝑂𝐵</w:t>
      </w:r>
      <w:r>
        <w:t xml:space="preserve">, respectively. </w:t>
      </w:r>
    </w:p>
    <w:p>
      <w:pPr>
        <w:pStyle w:val="style0"/>
        <w:rPr/>
      </w:pPr>
      <w:r>
        <w:t xml:space="preserve">To determine the intersection </w:t>
      </w:r>
      <w:r>
        <w:rPr>
          <w:rFonts w:ascii="Cambria Math" w:cs="Cambria Math" w:hAnsi="Cambria Math"/>
        </w:rPr>
        <w:t>𝑇</w:t>
      </w:r>
      <w:r>
        <w:t xml:space="preserve"> of </w:t>
      </w:r>
      <w:r>
        <w:rPr>
          <w:rFonts w:ascii="Cambria Math" w:cs="Cambria Math" w:hAnsi="Cambria Math"/>
        </w:rPr>
        <w:t>𝐴𝐵</w:t>
      </w:r>
      <w:r>
        <w:t xml:space="preserve">′ and </w:t>
      </w:r>
      <w:r>
        <w:rPr>
          <w:rFonts w:ascii="Cambria Math" w:cs="Cambria Math" w:hAnsi="Cambria Math"/>
        </w:rPr>
        <w:t>𝐵𝐴</w:t>
      </w:r>
      <w:r>
        <w:t>′ ,</w:t>
      </w:r>
      <w:r>
        <w:t xml:space="preserve"> we interpret </w:t>
      </w:r>
      <w:r>
        <w:rPr>
          <w:rFonts w:ascii="Cambria Math" w:cs="Cambria Math" w:hAnsi="Cambria Math"/>
        </w:rPr>
        <w:t>𝐴</w:t>
      </w:r>
      <w:r>
        <w:t xml:space="preserve">, </w:t>
      </w:r>
      <w:r>
        <w:rPr>
          <w:rFonts w:ascii="Cambria Math" w:cs="Cambria Math" w:hAnsi="Cambria Math"/>
        </w:rPr>
        <w:t>𝐴</w:t>
      </w:r>
      <w:r>
        <w:t xml:space="preserve">′ and </w:t>
      </w:r>
      <w:r>
        <w:rPr>
          <w:rFonts w:ascii="Cambria Math" w:cs="Cambria Math" w:hAnsi="Cambria Math"/>
        </w:rPr>
        <w:t>𝐵</w:t>
      </w:r>
      <w:r>
        <w:t xml:space="preserve">, </w:t>
      </w:r>
      <w:r>
        <w:rPr>
          <w:rFonts w:ascii="Cambria Math" w:cs="Cambria Math" w:hAnsi="Cambria Math"/>
        </w:rPr>
        <w:t>𝐵</w:t>
      </w:r>
      <w:r>
        <w:t xml:space="preserve">′ as vectors with </w:t>
      </w:r>
      <w:r>
        <w:rPr>
          <w:rFonts w:ascii="Cambria Math" w:cs="Cambria Math" w:hAnsi="Cambria Math"/>
        </w:rPr>
        <w:t>𝑂</w:t>
      </w:r>
      <w:r>
        <w:t xml:space="preserve"> as origin of our coordinate system. </w:t>
      </w:r>
    </w:p>
    <w:p>
      <w:pPr>
        <w:pStyle w:val="style0"/>
        <w:rPr/>
      </w:pPr>
      <w:r>
        <w:t xml:space="preserve">Then </w:t>
      </w:r>
      <w:r>
        <w:rPr>
          <w:rFonts w:ascii="Cambria Math" w:cs="Cambria Math" w:hAnsi="Cambria Math"/>
        </w:rPr>
        <w:t>𝑇</w:t>
      </w:r>
      <w:r>
        <w:t xml:space="preserve"> = (1 − </w:t>
      </w:r>
      <w:r>
        <w:rPr>
          <w:rFonts w:ascii="Cambria Math" w:cs="Cambria Math" w:hAnsi="Cambria Math"/>
        </w:rPr>
        <w:t>𝑠</w:t>
      </w:r>
      <w:r>
        <w:t>)</w:t>
      </w:r>
      <w:r>
        <w:rPr>
          <w:rFonts w:ascii="Cambria Math" w:cs="Cambria Math" w:hAnsi="Cambria Math"/>
        </w:rPr>
        <w:t>𝐴</w:t>
      </w:r>
      <w:r>
        <w:t xml:space="preserve"> + </w:t>
      </w:r>
      <w:r>
        <w:rPr>
          <w:rFonts w:ascii="Cambria Math" w:cs="Cambria Math" w:hAnsi="Cambria Math"/>
        </w:rPr>
        <w:t>𝑠𝐵</w:t>
      </w:r>
      <w:r>
        <w:t xml:space="preserve">′ = (1 − </w:t>
      </w:r>
      <w:r>
        <w:rPr>
          <w:rFonts w:ascii="Cambria Math" w:cs="Cambria Math" w:hAnsi="Cambria Math"/>
        </w:rPr>
        <w:t>𝑡</w:t>
      </w:r>
      <w:r>
        <w:t>)</w:t>
      </w:r>
      <w:r>
        <w:rPr>
          <w:rFonts w:ascii="Cambria Math" w:cs="Cambria Math" w:hAnsi="Cambria Math"/>
        </w:rPr>
        <w:t>𝐵</w:t>
      </w:r>
      <w:r>
        <w:t xml:space="preserve"> + </w:t>
      </w:r>
      <w:r>
        <w:rPr>
          <w:rFonts w:ascii="Cambria Math" w:cs="Cambria Math" w:hAnsi="Cambria Math"/>
        </w:rPr>
        <w:t>𝑡𝐴</w:t>
      </w:r>
      <w:r>
        <w:t>′ .</w:t>
      </w:r>
    </w:p>
    <w:p>
      <w:pPr>
        <w:pStyle w:val="style0"/>
        <w:rPr/>
      </w:pPr>
      <w:r>
        <w:t xml:space="preserve"> As </w:t>
      </w:r>
      <w:r>
        <w:rPr>
          <w:rFonts w:ascii="Cambria Math" w:cs="Cambria Math" w:hAnsi="Cambria Math"/>
        </w:rPr>
        <w:t>𝐴</w:t>
      </w:r>
      <w:r>
        <w:t>′ = 1/ 2</w:t>
      </w:r>
      <w:r>
        <w:rPr>
          <w:rFonts w:ascii="Cambria Math" w:cs="Cambria Math" w:hAnsi="Cambria Math"/>
        </w:rPr>
        <w:t>𝐴</w:t>
      </w:r>
      <w:r>
        <w:t xml:space="preserve"> and </w:t>
      </w:r>
      <w:r>
        <w:rPr>
          <w:rFonts w:ascii="Cambria Math" w:cs="Cambria Math" w:hAnsi="Cambria Math"/>
        </w:rPr>
        <w:t>𝐵</w:t>
      </w:r>
      <w:r>
        <w:t>′ = 1/ 2</w:t>
      </w:r>
      <w:r>
        <w:rPr>
          <w:rFonts w:ascii="Cambria Math" w:cs="Cambria Math" w:hAnsi="Cambria Math"/>
        </w:rPr>
        <w:t>𝐵</w:t>
      </w:r>
      <w:r>
        <w:t>,</w:t>
      </w:r>
    </w:p>
    <w:p>
      <w:pPr>
        <w:pStyle w:val="style0"/>
        <w:rPr/>
      </w:pPr>
      <w:r>
        <w:t xml:space="preserve"> this implies (1 − </w:t>
      </w:r>
      <w:r>
        <w:rPr>
          <w:rFonts w:ascii="Cambria Math" w:cs="Cambria Math" w:hAnsi="Cambria Math"/>
        </w:rPr>
        <w:t>𝑠</w:t>
      </w:r>
      <w:r>
        <w:t>)</w:t>
      </w:r>
      <w:r>
        <w:rPr>
          <w:rFonts w:ascii="Cambria Math" w:cs="Cambria Math" w:hAnsi="Cambria Math"/>
        </w:rPr>
        <w:t>𝐴</w:t>
      </w:r>
      <w:r>
        <w:t xml:space="preserve"> + </w:t>
      </w:r>
      <w:r>
        <w:rPr>
          <w:rFonts w:ascii="Cambria Math" w:cs="Cambria Math" w:hAnsi="Cambria Math"/>
        </w:rPr>
        <w:t>𝑠(</w:t>
      </w:r>
      <w:r>
        <w:t xml:space="preserve">1/2) </w:t>
      </w:r>
      <w:r>
        <w:rPr>
          <w:rFonts w:ascii="Cambria Math" w:cs="Cambria Math" w:hAnsi="Cambria Math"/>
        </w:rPr>
        <w:t>𝐵</w:t>
      </w:r>
      <w:r>
        <w:t xml:space="preserve"> = (1 − </w:t>
      </w:r>
      <w:r>
        <w:rPr>
          <w:rFonts w:ascii="Cambria Math" w:cs="Cambria Math" w:hAnsi="Cambria Math"/>
        </w:rPr>
        <w:t>𝑡</w:t>
      </w:r>
      <w:r>
        <w:t>)</w:t>
      </w:r>
      <w:r>
        <w:rPr>
          <w:rFonts w:ascii="Cambria Math" w:cs="Cambria Math" w:hAnsi="Cambria Math"/>
        </w:rPr>
        <w:t>𝐵</w:t>
      </w:r>
      <w:r>
        <w:t xml:space="preserve"> + </w:t>
      </w:r>
      <w:r>
        <w:rPr>
          <w:rFonts w:ascii="Cambria Math" w:cs="Cambria Math" w:hAnsi="Cambria Math"/>
        </w:rPr>
        <w:t>𝑡(</w:t>
      </w:r>
      <w:r>
        <w:t xml:space="preserve">1/ 2) </w:t>
      </w:r>
      <w:r>
        <w:rPr>
          <w:rFonts w:ascii="Cambria Math" w:cs="Cambria Math" w:hAnsi="Cambria Math"/>
        </w:rPr>
        <w:t>𝐴</w:t>
      </w:r>
      <w:r>
        <w:t xml:space="preserve"> .</w:t>
      </w:r>
    </w:p>
    <w:p>
      <w:pPr>
        <w:pStyle w:val="style0"/>
        <w:rPr/>
      </w:pPr>
      <w:r>
        <w:t xml:space="preserve"> Regrouping gives (1 − </w:t>
      </w:r>
      <w:r>
        <w:rPr>
          <w:rFonts w:ascii="Cambria Math" w:cs="Cambria Math" w:hAnsi="Cambria Math"/>
        </w:rPr>
        <w:t>𝑠</w:t>
      </w:r>
      <w:r>
        <w:t xml:space="preserve"> − 1 /2 </w:t>
      </w:r>
      <w:r>
        <w:rPr>
          <w:rFonts w:ascii="Cambria Math" w:cs="Cambria Math" w:hAnsi="Cambria Math"/>
        </w:rPr>
        <w:t>𝑡</w:t>
      </w:r>
      <w:r>
        <w:t>)</w:t>
      </w:r>
      <w:r>
        <w:rPr>
          <w:rFonts w:ascii="Cambria Math" w:cs="Cambria Math" w:hAnsi="Cambria Math"/>
        </w:rPr>
        <w:t>𝐴</w:t>
      </w:r>
      <w:r>
        <w:t xml:space="preserve"> = (1 − </w:t>
      </w:r>
      <w:r>
        <w:rPr>
          <w:rFonts w:ascii="Cambria Math" w:cs="Cambria Math" w:hAnsi="Cambria Math"/>
        </w:rPr>
        <w:t>𝑡</w:t>
      </w:r>
      <w:r>
        <w:t xml:space="preserve"> − 1 2 </w:t>
      </w:r>
      <w:r>
        <w:rPr>
          <w:rFonts w:ascii="Cambria Math" w:cs="Cambria Math" w:hAnsi="Cambria Math"/>
        </w:rPr>
        <w:t>𝑠</w:t>
      </w:r>
      <w:r>
        <w:t>)</w:t>
      </w:r>
      <w:r>
        <w:rPr>
          <w:rFonts w:ascii="Cambria Math" w:cs="Cambria Math" w:hAnsi="Cambria Math"/>
        </w:rPr>
        <w:t>𝐵</w:t>
      </w:r>
      <w:r>
        <w:t xml:space="preserve"> . </w:t>
      </w:r>
    </w:p>
    <w:p>
      <w:pPr>
        <w:pStyle w:val="style0"/>
        <w:rPr/>
      </w:pPr>
      <w:r>
        <w:t xml:space="preserve">As the vectors </w:t>
      </w:r>
      <w:r>
        <w:rPr>
          <w:rFonts w:ascii="Cambria Math" w:cs="Cambria Math" w:hAnsi="Cambria Math"/>
        </w:rPr>
        <w:t>𝐴</w:t>
      </w:r>
      <w:r>
        <w:t xml:space="preserve"> and </w:t>
      </w:r>
      <w:r>
        <w:rPr>
          <w:rFonts w:ascii="Cambria Math" w:cs="Cambria Math" w:hAnsi="Cambria Math"/>
        </w:rPr>
        <w:t>𝐵</w:t>
      </w:r>
      <w:r>
        <w:t xml:space="preserve"> are linearly independent, this implies that 1 − </w:t>
      </w:r>
      <w:r>
        <w:rPr>
          <w:rFonts w:ascii="Cambria Math" w:cs="Cambria Math" w:hAnsi="Cambria Math"/>
        </w:rPr>
        <w:t>𝑠</w:t>
      </w:r>
      <w:r>
        <w:t xml:space="preserve"> − 1 2 </w:t>
      </w:r>
      <w:r>
        <w:rPr>
          <w:rFonts w:ascii="Cambria Math" w:cs="Cambria Math" w:hAnsi="Cambria Math"/>
        </w:rPr>
        <w:t>𝑡</w:t>
      </w:r>
      <w:r>
        <w:t xml:space="preserve"> = 0 = 1 − </w:t>
      </w:r>
      <w:r>
        <w:rPr>
          <w:rFonts w:ascii="Cambria Math" w:cs="Cambria Math" w:hAnsi="Cambria Math"/>
        </w:rPr>
        <w:t>𝑡</w:t>
      </w:r>
      <w:r>
        <w:t xml:space="preserve"> − 1 2 </w:t>
      </w:r>
      <w:r>
        <w:rPr>
          <w:rFonts w:ascii="Cambria Math" w:cs="Cambria Math" w:hAnsi="Cambria Math"/>
        </w:rPr>
        <w:t>𝑠</w:t>
      </w:r>
      <w:r>
        <w:t xml:space="preserve">, </w:t>
      </w:r>
    </w:p>
    <w:p>
      <w:pPr>
        <w:pStyle w:val="style0"/>
        <w:rPr/>
      </w:pPr>
      <w:r>
        <w:t xml:space="preserve">which has </w:t>
      </w:r>
      <w:r>
        <w:rPr>
          <w:rFonts w:ascii="Cambria Math" w:cs="Cambria Math" w:hAnsi="Cambria Math"/>
        </w:rPr>
        <w:t>𝑠</w:t>
      </w:r>
      <w:r>
        <w:t xml:space="preserve"> = </w:t>
      </w:r>
      <w:r>
        <w:rPr>
          <w:rFonts w:ascii="Cambria Math" w:cs="Cambria Math" w:hAnsi="Cambria Math"/>
        </w:rPr>
        <w:t>𝑡</w:t>
      </w:r>
      <w:r>
        <w:t xml:space="preserve"> = 2/3. Hence </w:t>
      </w:r>
      <w:r>
        <w:rPr>
          <w:rFonts w:ascii="Cambria Math" w:cs="Cambria Math" w:hAnsi="Cambria Math"/>
        </w:rPr>
        <w:t>𝑇</w:t>
      </w:r>
      <w:r>
        <w:t xml:space="preserve"> divides </w:t>
      </w:r>
      <w:r>
        <w:rPr>
          <w:rFonts w:ascii="Cambria Math" w:cs="Cambria Math" w:hAnsi="Cambria Math"/>
        </w:rPr>
        <w:t>𝐵𝐴</w:t>
      </w:r>
      <w:r>
        <w:t xml:space="preserve">′ and </w:t>
      </w:r>
      <w:r>
        <w:rPr>
          <w:rFonts w:ascii="Cambria Math" w:cs="Cambria Math" w:hAnsi="Cambria Math"/>
        </w:rPr>
        <w:t>𝐴𝐵</w:t>
      </w:r>
      <w:r>
        <w:t>′ in the proportion 2:1.</w:t>
      </w:r>
    </w:p>
    <w:p>
      <w:pPr>
        <w:pStyle w:val="style0"/>
        <w:rPr/>
      </w:pPr>
      <w:r>
        <w:t>t and s are equal therefore there is incident homomorphism</w:t>
      </w:r>
      <w:r>
        <w:t>.</w:t>
      </w:r>
    </w:p>
    <w:p>
      <w:pPr>
        <w:pStyle w:val="style0"/>
        <w:rPr/>
      </w:pPr>
    </w:p>
    <w:p>
      <w:pPr>
        <w:pStyle w:val="style0"/>
        <w:rPr/>
      </w:pPr>
      <w:r>
        <w:rPr>
          <w:noProof/>
        </w:rPr>
        <w:drawing>
          <wp:inline distL="0" distT="0" distB="0" distR="0">
            <wp:extent cx="3562350" cy="2676525"/>
            <wp:effectExtent l="0" t="0" r="0" b="9525"/>
            <wp:docPr id="1027" name="Picture 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Picture 3"/>
                    <pic:cNvPicPr/>
                  </pic:nvPicPr>
                  <pic:blipFill>
                    <a:blip r:embed="rId3" cstate="print"/>
                    <a:srcRect l="0" t="0" r="0" b="0"/>
                    <a:stretch/>
                  </pic:blipFill>
                  <pic:spPr>
                    <a:xfrm rot="0">
                      <a:off x="0" y="0"/>
                      <a:ext cx="3562350" cy="2676525"/>
                    </a:xfrm>
                    <a:prstGeom prst="rect"/>
                  </pic:spPr>
                </pic:pic>
              </a:graphicData>
            </a:graphic>
          </wp:inline>
        </w:drawing>
      </w:r>
      <w:bookmarkStart w:id="0" w:name="_GoBack"/>
      <w:bookmarkEnd w:id="0"/>
    </w:p>
    <w:p>
      <w:pPr>
        <w:pStyle w:val="style0"/>
        <w:rPr/>
      </w:pPr>
    </w:p>
    <w:p>
      <w:pPr>
        <w:pStyle w:val="style0"/>
        <w:rPr/>
      </w:pPr>
      <w:r>
        <w:t xml:space="preserve">Considering the set of 9 points if we use the set </w:t>
      </w:r>
      <w:r>
        <w:rPr>
          <w:rFonts w:ascii="Cambria Math" w:cs="Cambria Math" w:hAnsi="Cambria Math"/>
        </w:rPr>
        <w:t>𝔽</w:t>
      </w:r>
      <w:r>
        <w:t xml:space="preserve">3 = {0, 1, 2} of integers modulo 3. the affine plane </w:t>
      </w:r>
      <w:r>
        <w:rPr>
          <w:rFonts w:ascii="Cambria Math" w:cs="Cambria Math" w:hAnsi="Cambria Math"/>
        </w:rPr>
        <w:t>𝔽</w:t>
      </w:r>
      <w:r>
        <w:rPr>
          <w:vertAlign w:val="superscript"/>
        </w:rPr>
        <w:t>2</w:t>
      </w:r>
      <w:r>
        <w:rPr>
          <w:vertAlign w:val="subscript"/>
        </w:rPr>
        <w:t>3</w:t>
      </w:r>
      <w:r>
        <w:t xml:space="preserve">  consists</w:t>
      </w:r>
      <w:r>
        <w:t xml:space="preserve"> of 9 points that we can represent in a 3 × 3 array. There are three lines through each point, with a total of 9 lines, each with three points on it. Thus the sets of points and lines in </w:t>
      </w:r>
      <w:r>
        <w:rPr>
          <w:rFonts w:ascii="Cambria Math" w:cs="Cambria Math" w:hAnsi="Cambria Math"/>
        </w:rPr>
        <w:t>𝔽</w:t>
      </w:r>
      <w:r>
        <w:rPr>
          <w:vertAlign w:val="superscript"/>
        </w:rPr>
        <w:t>2</w:t>
      </w:r>
      <w:r>
        <w:rPr>
          <w:vertAlign w:val="subscript"/>
        </w:rPr>
        <w:t>3</w:t>
      </w:r>
      <w:r>
        <w:t xml:space="preserve">  is</w:t>
      </w:r>
      <w:r>
        <w:t xml:space="preserve"> a configuration called the Hesse configuration.</w:t>
      </w:r>
    </w:p>
    <w:p>
      <w:pPr>
        <w:pStyle w:val="style0"/>
        <w:rPr/>
      </w:pPr>
      <w:r>
        <w:t>A midpoint of a segment is always the third p</w:t>
      </w:r>
      <w:r>
        <w:t>oint on the line extending the segment.</w:t>
      </w:r>
      <w:r>
        <w:t xml:space="preserve"> for a triangle Δ</w:t>
      </w:r>
      <w:r>
        <w:rPr>
          <w:rFonts w:ascii="Cambria Math" w:cs="Cambria Math" w:hAnsi="Cambria Math"/>
        </w:rPr>
        <w:t>𝐴𝐵𝐶</w:t>
      </w:r>
      <w:r>
        <w:t xml:space="preserve"> in </w:t>
      </w:r>
      <w:r>
        <w:rPr>
          <w:rFonts w:ascii="Cambria Math" w:cs="Cambria Math" w:hAnsi="Cambria Math"/>
        </w:rPr>
        <w:t>𝔽</w:t>
      </w:r>
      <w:r>
        <w:rPr>
          <w:vertAlign w:val="superscript"/>
        </w:rPr>
        <w:t>2</w:t>
      </w:r>
      <w:r>
        <w:rPr>
          <w:vertAlign w:val="subscript"/>
        </w:rPr>
        <w:t>3</w:t>
      </w:r>
      <w:r>
        <w:t>, the vector from the midpoint 1</w:t>
      </w:r>
      <w:r>
        <w:t>/2</w:t>
      </w:r>
      <w:r>
        <w:t>(</w:t>
      </w:r>
      <w:r>
        <w:rPr>
          <w:rFonts w:ascii="Cambria Math" w:cs="Cambria Math" w:hAnsi="Cambria Math"/>
        </w:rPr>
        <w:t>𝐵</w:t>
      </w:r>
      <w:r>
        <w:t xml:space="preserve"> + </w:t>
      </w:r>
      <w:r>
        <w:rPr>
          <w:rFonts w:ascii="Cambria Math" w:cs="Cambria Math" w:hAnsi="Cambria Math"/>
        </w:rPr>
        <w:t>𝐶</w:t>
      </w:r>
      <w:r>
        <w:t>) = −</w:t>
      </w:r>
      <w:r>
        <w:rPr>
          <w:rFonts w:ascii="Cambria Math" w:cs="Cambria Math" w:hAnsi="Cambria Math"/>
        </w:rPr>
        <w:t>𝐵</w:t>
      </w:r>
      <w:r>
        <w:t xml:space="preserve"> − </w:t>
      </w:r>
      <w:r>
        <w:rPr>
          <w:rFonts w:ascii="Cambria Math" w:cs="Cambria Math" w:hAnsi="Cambria Math"/>
        </w:rPr>
        <w:t>𝐶</w:t>
      </w:r>
      <w:r>
        <w:t xml:space="preserve"> to </w:t>
      </w:r>
      <w:r>
        <w:rPr>
          <w:rFonts w:ascii="Cambria Math" w:cs="Cambria Math" w:hAnsi="Cambria Math"/>
        </w:rPr>
        <w:t>𝐴</w:t>
      </w:r>
      <w:r>
        <w:t xml:space="preserve"> is equal to </w:t>
      </w:r>
      <w:r>
        <w:rPr>
          <w:rFonts w:ascii="Cambria Math" w:cs="Cambria Math" w:hAnsi="Cambria Math"/>
        </w:rPr>
        <w:t>𝐴</w:t>
      </w:r>
      <w:r>
        <w:t xml:space="preserve"> + </w:t>
      </w:r>
      <w:r>
        <w:rPr>
          <w:rFonts w:ascii="Cambria Math" w:cs="Cambria Math" w:hAnsi="Cambria Math"/>
        </w:rPr>
        <w:t>𝐵</w:t>
      </w:r>
      <w:r>
        <w:t xml:space="preserve"> + </w:t>
      </w:r>
      <w:r>
        <w:rPr>
          <w:rFonts w:ascii="Cambria Math" w:cs="Cambria Math" w:hAnsi="Cambria Math"/>
        </w:rPr>
        <w:t>𝐶</w:t>
      </w:r>
      <w:r>
        <w:t xml:space="preserve">, </w:t>
      </w:r>
      <w:r>
        <w:t xml:space="preserve">and this remains true if </w:t>
      </w:r>
      <w:r>
        <w:t xml:space="preserve">the midpoint bisectors ending at </w:t>
      </w:r>
      <w:r>
        <w:rPr>
          <w:rFonts w:ascii="Cambria Math" w:cs="Cambria Math" w:hAnsi="Cambria Math"/>
        </w:rPr>
        <w:t>𝐵</w:t>
      </w:r>
      <w:r>
        <w:t xml:space="preserve"> or </w:t>
      </w:r>
      <w:r>
        <w:rPr>
          <w:rFonts w:ascii="Cambria Math" w:cs="Cambria Math" w:hAnsi="Cambria Math"/>
        </w:rPr>
        <w:t>𝐶</w:t>
      </w:r>
      <w:r>
        <w:rPr>
          <w:rFonts w:ascii="Cambria Math" w:cs="Cambria Math" w:hAnsi="Cambria Math"/>
        </w:rPr>
        <w:t xml:space="preserve"> are used</w:t>
      </w:r>
      <w:r>
        <w:t>. In other words, all three midpoint bisectors of</w:t>
      </w:r>
      <w:r>
        <w:t xml:space="preserve"> a triangle are parallel in geometry.</w:t>
      </w:r>
    </w:p>
    <w:p>
      <w:pPr>
        <w:pStyle w:val="style0"/>
        <w:rPr/>
      </w:pPr>
    </w:p>
    <w:p>
      <w:pPr>
        <w:pStyle w:val="style0"/>
        <w:rPr>
          <w:b/>
        </w:rPr>
      </w:pPr>
      <w:r>
        <w:rPr>
          <w:b/>
        </w:rPr>
        <w:t>Q2.</w:t>
      </w:r>
    </w:p>
    <w:p>
      <w:pPr>
        <w:pStyle w:val="style0"/>
        <w:rPr/>
      </w:pPr>
      <w:r>
        <w:t>(</w:t>
      </w:r>
      <w:r>
        <w:rPr>
          <w:rFonts w:ascii="Cambria Math" w:cs="Cambria Math" w:hAnsi="Cambria Math"/>
        </w:rPr>
        <w:t>𝑎</w:t>
      </w:r>
      <w:r>
        <w:t xml:space="preserve">, </w:t>
      </w:r>
      <w:r>
        <w:rPr>
          <w:rFonts w:ascii="Cambria Math" w:cs="Cambria Math" w:hAnsi="Cambria Math"/>
        </w:rPr>
        <w:t>𝑏</w:t>
      </w:r>
      <w:r>
        <w:t>) + (</w:t>
      </w:r>
      <w:r>
        <w:rPr>
          <w:rFonts w:ascii="Cambria Math" w:cs="Cambria Math" w:hAnsi="Cambria Math"/>
        </w:rPr>
        <w:t>𝑎</w:t>
      </w:r>
      <w:r>
        <w:t xml:space="preserve">′ </w:t>
      </w:r>
      <w:r>
        <w:rPr>
          <w:rFonts w:ascii="Cambria Math" w:cs="Cambria Math" w:hAnsi="Cambria Math"/>
        </w:rPr>
        <w:t>𝑏</w:t>
      </w:r>
      <w:r>
        <w:t>′) = (</w:t>
      </w:r>
      <w:r>
        <w:rPr>
          <w:rFonts w:ascii="Cambria Math" w:cs="Cambria Math" w:hAnsi="Cambria Math"/>
        </w:rPr>
        <w:t>𝑎</w:t>
      </w:r>
      <w:r>
        <w:t xml:space="preserve"> + </w:t>
      </w:r>
      <w:r>
        <w:rPr>
          <w:rFonts w:ascii="Cambria Math" w:cs="Cambria Math" w:hAnsi="Cambria Math"/>
        </w:rPr>
        <w:t>𝑎</w:t>
      </w:r>
      <w:r>
        <w:t xml:space="preserve">′ , </w:t>
      </w:r>
      <w:r>
        <w:rPr>
          <w:rFonts w:ascii="Cambria Math" w:cs="Cambria Math" w:hAnsi="Cambria Math"/>
        </w:rPr>
        <w:t>𝑏</w:t>
      </w:r>
      <w:r>
        <w:t xml:space="preserve"> + </w:t>
      </w:r>
      <w:r>
        <w:rPr>
          <w:rFonts w:ascii="Cambria Math" w:cs="Cambria Math" w:hAnsi="Cambria Math"/>
        </w:rPr>
        <w:t>𝑏</w:t>
      </w:r>
      <w:r>
        <w:t>′)</w:t>
      </w:r>
    </w:p>
    <w:p>
      <w:pPr>
        <w:pStyle w:val="style0"/>
        <w:rPr/>
      </w:pPr>
      <w:r>
        <w:t>(</w:t>
      </w:r>
      <w:r>
        <w:rPr>
          <w:rFonts w:ascii="Cambria Math" w:cs="Cambria Math" w:hAnsi="Cambria Math"/>
        </w:rPr>
        <w:t>𝑎</w:t>
      </w:r>
      <w:r>
        <w:t xml:space="preserve">, </w:t>
      </w:r>
      <w:r>
        <w:rPr>
          <w:rFonts w:ascii="Cambria Math" w:cs="Cambria Math" w:hAnsi="Cambria Math"/>
        </w:rPr>
        <w:t>𝑏</w:t>
      </w:r>
      <w:r>
        <w:t xml:space="preserve">) </w:t>
      </w:r>
      <w:r>
        <w:rPr>
          <w:rFonts w:ascii="Cambria Math" w:cs="Cambria Math" w:hAnsi="Cambria Math"/>
        </w:rPr>
        <w:t>⋅</w:t>
      </w:r>
      <w:r>
        <w:t xml:space="preserve"> (</w:t>
      </w:r>
      <w:r>
        <w:rPr>
          <w:rFonts w:ascii="Cambria Math" w:cs="Cambria Math" w:hAnsi="Cambria Math"/>
        </w:rPr>
        <w:t>𝑎</w:t>
      </w:r>
      <w:r>
        <w:t xml:space="preserve">′ </w:t>
      </w:r>
      <w:r>
        <w:rPr>
          <w:rFonts w:ascii="Cambria Math" w:cs="Cambria Math" w:hAnsi="Cambria Math"/>
        </w:rPr>
        <w:t>𝑏</w:t>
      </w:r>
      <w:r>
        <w:t>′) = (</w:t>
      </w:r>
      <w:r>
        <w:rPr>
          <w:rFonts w:ascii="Cambria Math" w:cs="Cambria Math" w:hAnsi="Cambria Math"/>
        </w:rPr>
        <w:t>𝑎𝑎</w:t>
      </w:r>
      <w:r>
        <w:t xml:space="preserve">′ − </w:t>
      </w:r>
      <w:r>
        <w:rPr>
          <w:rFonts w:ascii="Cambria Math" w:cs="Cambria Math" w:hAnsi="Cambria Math"/>
        </w:rPr>
        <w:t>𝑏𝑏</w:t>
      </w:r>
      <w:r>
        <w:t xml:space="preserve">′ , </w:t>
      </w:r>
      <w:r>
        <w:rPr>
          <w:rFonts w:ascii="Cambria Math" w:cs="Cambria Math" w:hAnsi="Cambria Math"/>
        </w:rPr>
        <w:t>𝑎𝑏</w:t>
      </w:r>
      <w:r>
        <w:t xml:space="preserve">′ + </w:t>
      </w:r>
      <w:r>
        <w:rPr>
          <w:rFonts w:ascii="Cambria Math" w:cs="Cambria Math" w:hAnsi="Cambria Math"/>
        </w:rPr>
        <w:t>𝑎</w:t>
      </w:r>
      <w:r>
        <w:t xml:space="preserve">′ </w:t>
      </w:r>
      <w:r>
        <w:rPr>
          <w:rFonts w:ascii="Cambria Math" w:cs="Cambria Math" w:hAnsi="Cambria Math"/>
        </w:rPr>
        <w:t>𝑏</w:t>
      </w:r>
      <w:r>
        <w:t>)</w:t>
      </w:r>
    </w:p>
    <w:p>
      <w:pPr>
        <w:pStyle w:val="style0"/>
        <w:rPr/>
      </w:pPr>
      <w:r>
        <w:t xml:space="preserve">1 = (1, 0) and </w:t>
      </w:r>
      <w:r>
        <w:rPr>
          <w:rFonts w:ascii="Cambria Math" w:cs="Cambria Math" w:hAnsi="Cambria Math"/>
        </w:rPr>
        <w:t>𝑖</w:t>
      </w:r>
      <w:r>
        <w:t xml:space="preserve"> = (0, 1)</w:t>
      </w:r>
    </w:p>
    <w:p>
      <w:pPr>
        <w:pStyle w:val="style0"/>
        <w:rPr/>
      </w:pPr>
      <w:r>
        <w:rPr>
          <w:rFonts w:ascii="Cambria Math" w:cs="Cambria Math" w:hAnsi="Cambria Math"/>
        </w:rPr>
        <w:t>𝑎</w:t>
      </w:r>
      <w:r>
        <w:t xml:space="preserve"> + </w:t>
      </w:r>
      <w:r>
        <w:rPr>
          <w:rFonts w:ascii="Cambria Math" w:cs="Cambria Math" w:hAnsi="Cambria Math"/>
        </w:rPr>
        <w:t>𝑏𝑖</w:t>
      </w:r>
      <w:r>
        <w:t xml:space="preserve"> = (</w:t>
      </w:r>
      <w:r>
        <w:rPr>
          <w:rFonts w:ascii="Cambria Math" w:cs="Cambria Math" w:hAnsi="Cambria Math"/>
        </w:rPr>
        <w:t>𝑎</w:t>
      </w:r>
      <w:r>
        <w:t xml:space="preserve">, </w:t>
      </w:r>
      <w:r>
        <w:rPr>
          <w:rFonts w:ascii="Cambria Math" w:cs="Cambria Math" w:hAnsi="Cambria Math"/>
        </w:rPr>
        <w:t>𝑏</w:t>
      </w:r>
      <w:r>
        <w:t>)</w:t>
      </w:r>
    </w:p>
    <w:p>
      <w:pPr>
        <w:pStyle w:val="style0"/>
        <w:rPr/>
      </w:pPr>
      <w:r>
        <w:t xml:space="preserve"> </w:t>
      </w:r>
      <w:r>
        <w:rPr>
          <w:rFonts w:ascii="Cambria Math" w:cs="Cambria Math" w:hAnsi="Cambria Math"/>
        </w:rPr>
        <w:t>𝑖</w:t>
      </w:r>
      <w:r>
        <w:t xml:space="preserve"> </w:t>
      </w:r>
      <w:r>
        <w:rPr>
          <w:vertAlign w:val="superscript"/>
        </w:rPr>
        <w:t>2</w:t>
      </w:r>
      <w:r>
        <w:t>= −1</w:t>
      </w:r>
    </w:p>
    <w:p>
      <w:pPr>
        <w:pStyle w:val="style0"/>
        <w:rPr/>
      </w:pPr>
      <w:r>
        <w:t>(</w:t>
      </w:r>
      <w:r>
        <w:rPr>
          <w:rFonts w:ascii="Cambria Math" w:cs="Cambria Math" w:hAnsi="Cambria Math"/>
        </w:rPr>
        <w:t>𝑎</w:t>
      </w:r>
      <w:r>
        <w:t xml:space="preserve">, </w:t>
      </w:r>
      <w:r>
        <w:rPr>
          <w:rFonts w:ascii="Cambria Math" w:cs="Cambria Math" w:hAnsi="Cambria Math"/>
        </w:rPr>
        <w:t>𝑏</w:t>
      </w:r>
      <w:r>
        <w:t xml:space="preserve">) </w:t>
      </w:r>
      <w:r>
        <w:rPr>
          <w:rFonts w:ascii="Cambria Math" w:cs="Cambria Math" w:hAnsi="Cambria Math"/>
        </w:rPr>
        <w:t>⋅</w:t>
      </w:r>
      <w:r>
        <w:t xml:space="preserve"> (</w:t>
      </w:r>
      <w:r>
        <w:rPr>
          <w:rFonts w:ascii="Cambria Math" w:cs="Cambria Math" w:hAnsi="Cambria Math"/>
        </w:rPr>
        <w:t>𝑎</w:t>
      </w:r>
      <w:r>
        <w:t xml:space="preserve">′ </w:t>
      </w:r>
      <w:r>
        <w:rPr>
          <w:rFonts w:ascii="Cambria Math" w:cs="Cambria Math" w:hAnsi="Cambria Math"/>
        </w:rPr>
        <w:t>𝑏</w:t>
      </w:r>
      <w:r>
        <w:t xml:space="preserve">′) = </w:t>
      </w:r>
      <w:r>
        <w:rPr>
          <w:rFonts w:ascii="Cambria Math" w:cs="Cambria Math" w:hAnsi="Cambria Math"/>
        </w:rPr>
        <w:t>𝑎𝑎</w:t>
      </w:r>
      <w:r>
        <w:t xml:space="preserve">′ − </w:t>
      </w:r>
      <w:r>
        <w:rPr>
          <w:rFonts w:ascii="Cambria Math" w:cs="Cambria Math" w:hAnsi="Cambria Math"/>
        </w:rPr>
        <w:t>𝑏𝑏</w:t>
      </w:r>
      <w:r>
        <w:t>′ +</w:t>
      </w:r>
      <w:r>
        <w:t>i</w:t>
      </w:r>
      <w:r>
        <w:t>(</w:t>
      </w:r>
      <w:r>
        <w:rPr>
          <w:rFonts w:ascii="Cambria Math" w:cs="Cambria Math" w:hAnsi="Cambria Math"/>
        </w:rPr>
        <w:t>𝑎𝑏</w:t>
      </w:r>
      <w:r>
        <w:t xml:space="preserve">′ + </w:t>
      </w:r>
      <w:r>
        <w:rPr>
          <w:rFonts w:ascii="Cambria Math" w:cs="Cambria Math" w:hAnsi="Cambria Math"/>
        </w:rPr>
        <w:t>𝑎</w:t>
      </w:r>
      <w:r>
        <w:t xml:space="preserve">′ </w:t>
      </w:r>
      <w:r>
        <w:rPr>
          <w:rFonts w:ascii="Cambria Math" w:cs="Cambria Math" w:hAnsi="Cambria Math"/>
        </w:rPr>
        <w:t>𝑏</w:t>
      </w:r>
      <w:r>
        <w:t>)</w:t>
      </w:r>
    </w:p>
    <w:p>
      <w:pPr>
        <w:pStyle w:val="style0"/>
        <w:rPr/>
      </w:pPr>
      <w:r>
        <w:t xml:space="preserve">The additive identity is 0 = 0 + 0i, the multiplicative identity is 1 = 1 + 0i, and the multiplicative inverse of a nonzero complex number a + </w:t>
      </w:r>
      <w:r>
        <w:t>ib</w:t>
      </w:r>
      <w:r>
        <w:t xml:space="preserve"> is (a + </w:t>
      </w:r>
      <w:r>
        <w:t>ib</w:t>
      </w:r>
      <w:r>
        <w:t xml:space="preserve">) </w:t>
      </w:r>
      <w:r>
        <w:rPr>
          <w:vertAlign w:val="superscript"/>
        </w:rPr>
        <w:t>-1</w:t>
      </w:r>
      <w:r>
        <w:t xml:space="preserve"> = a</w:t>
      </w:r>
      <w:r>
        <w:t>/(</w:t>
      </w:r>
      <w:r>
        <w:t>a</w:t>
      </w:r>
      <w:r>
        <w:rPr>
          <w:vertAlign w:val="superscript"/>
        </w:rPr>
        <w:t>2</w:t>
      </w:r>
      <w:r>
        <w:t xml:space="preserve"> + b</w:t>
      </w:r>
      <w:r>
        <w:rPr>
          <w:vertAlign w:val="superscript"/>
        </w:rPr>
        <w:t>2</w:t>
      </w:r>
      <w:r>
        <w:t xml:space="preserve"> ) + </w:t>
      </w:r>
      <w:r>
        <w:t>i</w:t>
      </w:r>
      <w:r>
        <w:t>(−b/(a</w:t>
      </w:r>
      <w:r>
        <w:rPr>
          <w:vertAlign w:val="superscript"/>
        </w:rPr>
        <w:t>2</w:t>
      </w:r>
      <w:r>
        <w:t>+ b</w:t>
      </w:r>
      <w:r>
        <w:rPr>
          <w:vertAlign w:val="superscript"/>
        </w:rPr>
        <w:t>2</w:t>
      </w:r>
      <w:r>
        <w:t>)).</w:t>
      </w:r>
    </w:p>
    <w:p>
      <w:pPr>
        <w:pStyle w:val="style0"/>
        <w:rPr/>
      </w:pPr>
      <w:r>
        <w:t xml:space="preserve">If a’ is a positive real number, the symbol √ a’ will be used to denote the positive (real) square root of a’. Also √ 0 = 0. Notice that if z = a + </w:t>
      </w:r>
      <w:r>
        <w:t>ib</w:t>
      </w:r>
      <w:r>
        <w:t xml:space="preserve"> is a nonzero complex number, then a 2 + b 2 is a positive real number. Definition. The absolute value of the compl</w:t>
      </w:r>
      <w:r>
        <w:t xml:space="preserve">ex number z = </w:t>
      </w:r>
      <w:r>
        <w:t>a+ib</w:t>
      </w:r>
      <w:r>
        <w:t xml:space="preserve"> is |z| = </w:t>
      </w:r>
      <w:r>
        <w:rPr>
          <w:noProof/>
        </w:rPr>
        <w:drawing>
          <wp:inline distL="0" distT="0" distB="0" distR="0">
            <wp:extent cx="1257300" cy="285750"/>
            <wp:effectExtent l="0" t="0" r="0" b="0"/>
            <wp:docPr id="1028" name="Picture 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Picture 4"/>
                    <pic:cNvPicPr/>
                  </pic:nvPicPr>
                  <pic:blipFill>
                    <a:blip r:embed="rId4" cstate="print"/>
                    <a:srcRect l="0" t="0" r="0" b="0"/>
                    <a:stretch/>
                  </pic:blipFill>
                  <pic:spPr>
                    <a:xfrm rot="0">
                      <a:off x="0" y="0"/>
                      <a:ext cx="1257300" cy="285750"/>
                    </a:xfrm>
                    <a:prstGeom prst="rect"/>
                  </pic:spPr>
                </pic:pic>
              </a:graphicData>
            </a:graphic>
          </wp:inline>
        </w:drawing>
      </w:r>
      <w:r>
        <w:t xml:space="preserve"> </w:t>
      </w:r>
      <w:r>
        <w:t xml:space="preserve">Note that z = a + </w:t>
      </w:r>
      <w:r>
        <w:t>ib</w:t>
      </w:r>
      <w:r>
        <w:t xml:space="preserve"> </w:t>
      </w:r>
      <w:r>
        <w:rPr>
          <w:rFonts w:cs="Calibri"/>
        </w:rPr>
        <w:t>≠</w:t>
      </w:r>
      <w:r>
        <w:t>0 is equivalent to |z| 6</w:t>
      </w:r>
      <w:r>
        <w:rPr>
          <w:rFonts w:cs="Calibri"/>
        </w:rPr>
        <w:t>≠</w:t>
      </w:r>
      <w:r>
        <w:t xml:space="preserve"> 0. Viewing z = a + </w:t>
      </w:r>
      <w:r>
        <w:t>ib</w:t>
      </w:r>
      <w:r>
        <w:t xml:space="preserve"> as a point (a, b) </w:t>
      </w:r>
      <w:r>
        <w:rPr>
          <w:rFonts w:ascii="Cambria Math" w:cs="Cambria Math" w:hAnsi="Cambria Math"/>
        </w:rPr>
        <w:t>∈</w:t>
      </w:r>
      <w:r>
        <w:t xml:space="preserve"> R</w:t>
      </w:r>
      <w:r>
        <w:rPr>
          <w:vertAlign w:val="superscript"/>
        </w:rPr>
        <w:t>2</w:t>
      </w:r>
      <w:r>
        <w:t xml:space="preserve"> ,</w:t>
      </w:r>
      <w:r>
        <w:t xml:space="preserve"> the length of the line segment joining (0, 0) and</w:t>
      </w:r>
      <w:r>
        <w:t xml:space="preserve"> (a, b) is √ a</w:t>
      </w:r>
      <w:r>
        <w:rPr>
          <w:vertAlign w:val="superscript"/>
        </w:rPr>
        <w:t>2</w:t>
      </w:r>
      <w:r>
        <w:t>+ b</w:t>
      </w:r>
      <w:r>
        <w:rPr>
          <w:vertAlign w:val="superscript"/>
        </w:rPr>
        <w:t>2</w:t>
      </w:r>
      <w:r>
        <w:t>= |z|. If θ is the angle that this segment makes with the positive first coordinate axis, then a = |z| cos θ and b = |</w:t>
      </w:r>
      <w:r>
        <w:t>z|sin</w:t>
      </w:r>
      <w:r>
        <w:t xml:space="preserve"> θ. (Here we have the usual convention that positive angles are measured counterclockwise from the positive first c</w:t>
      </w:r>
      <w:r>
        <w:t xml:space="preserve">oordinate axis). </w:t>
      </w:r>
    </w:p>
    <w:p>
      <w:pPr>
        <w:pStyle w:val="style0"/>
        <w:rPr/>
      </w:pPr>
      <w:r>
        <w:t>Therefore  z</w:t>
      </w:r>
      <w:r>
        <w:t xml:space="preserve"> = |z|(cos θ + </w:t>
      </w:r>
      <w:r>
        <w:t>Isin</w:t>
      </w:r>
      <w:r>
        <w:t xml:space="preserve"> θ) but z=(</w:t>
      </w:r>
      <w:r>
        <w:t>a,b</w:t>
      </w:r>
      <w:r>
        <w:t>)</w:t>
      </w:r>
    </w:p>
    <w:p>
      <w:pPr>
        <w:pStyle w:val="style0"/>
        <w:rPr/>
      </w:pPr>
      <w:r>
        <w:t>z/|z|=</w:t>
      </w:r>
      <w:r>
        <w:t xml:space="preserve"> </w:t>
      </w:r>
      <w:r>
        <w:t xml:space="preserve">cos θ + </w:t>
      </w:r>
      <w:r>
        <w:t>isin</w:t>
      </w:r>
      <w:r>
        <w:t xml:space="preserve"> θ  </w:t>
      </w:r>
      <w:r>
        <w:rPr/>
        <w:sym w:font="Wingdings" w:char="f0e8"/>
      </w:r>
      <w:r>
        <w:t xml:space="preserve">1/z= </w:t>
      </w:r>
      <w:r>
        <w:rPr>
          <w:noProof/>
        </w:rPr>
        <w:drawing>
          <wp:inline distL="0" distT="0" distB="0" distR="0">
            <wp:extent cx="85725" cy="148891"/>
            <wp:effectExtent l="0" t="0" r="0" b="3810"/>
            <wp:docPr id="1029" name="Picture 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5"/>
                    <pic:cNvPicPr/>
                  </pic:nvPicPr>
                  <pic:blipFill>
                    <a:blip r:embed="rId5" cstate="print"/>
                    <a:srcRect l="0" t="0" r="0" b="0"/>
                    <a:stretch/>
                  </pic:blipFill>
                  <pic:spPr>
                    <a:xfrm rot="0">
                      <a:off x="0" y="0"/>
                      <a:ext cx="85725" cy="148891"/>
                    </a:xfrm>
                    <a:prstGeom prst="rect"/>
                  </pic:spPr>
                </pic:pic>
              </a:graphicData>
            </a:graphic>
          </wp:inline>
        </w:drawing>
      </w:r>
      <w:r>
        <w:t>/|z|</w:t>
      </w:r>
      <w:r>
        <w:rPr>
          <w:vertAlign w:val="superscript"/>
        </w:rPr>
        <w:t xml:space="preserve">2 </w:t>
      </w:r>
      <w:r>
        <w:t xml:space="preserve"> and if |z|=1 ,</w:t>
      </w:r>
      <w:r>
        <w:t xml:space="preserve"> </w:t>
      </w:r>
      <w:r>
        <w:t xml:space="preserve">1/z= </w:t>
      </w:r>
      <w:r>
        <w:rPr>
          <w:noProof/>
        </w:rPr>
        <w:drawing>
          <wp:inline distL="0" distT="0" distB="0" distR="0">
            <wp:extent cx="85725" cy="148891"/>
            <wp:effectExtent l="0" t="0" r="0" b="3810"/>
            <wp:docPr id="1030" name="Picture 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6"/>
                    <pic:cNvPicPr/>
                  </pic:nvPicPr>
                  <pic:blipFill>
                    <a:blip r:embed="rId5" cstate="print"/>
                    <a:srcRect l="0" t="0" r="0" b="0"/>
                    <a:stretch/>
                  </pic:blipFill>
                  <pic:spPr>
                    <a:xfrm rot="0">
                      <a:off x="0" y="0"/>
                      <a:ext cx="85725" cy="148891"/>
                    </a:xfrm>
                    <a:prstGeom prst="rect"/>
                  </pic:spPr>
                </pic:pic>
              </a:graphicData>
            </a:graphic>
          </wp:inline>
        </w:drawing>
      </w:r>
      <w:r>
        <w:t xml:space="preserve"> and thus the imaginary units have additive inverse as well as multiplicative inverse and the two inverse are equal. Since the modular product of these two elements is non zero the set F3 is a field. We do not divide by zero as this will give us an infinite answer</w:t>
      </w:r>
    </w:p>
    <w:p>
      <w:pPr>
        <w:pStyle w:val="style0"/>
        <w:rPr>
          <w:b/>
        </w:rPr>
      </w:pPr>
    </w:p>
    <w:p>
      <w:pPr>
        <w:pStyle w:val="style0"/>
        <w:rPr/>
      </w:pPr>
    </w:p>
    <w:sectPr>
      <w:pgSz w:w="12240" w:h="15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0002AFF" w:usb1="C000247B" w:usb2="00000009" w:usb3="00000000" w:csb0="000001FF" w:csb1="00000000"/>
  </w:font>
  <w:font w:name="Times New Roman">
    <w:altName w:val="Times New Roman"/>
    <w:panose1 w:val="02020603050004020304"/>
    <w:charset w:val="00"/>
    <w:family w:val="roman"/>
    <w:pitch w:val="variable"/>
    <w:sig w:usb0="E0002EFF" w:usb1="C000785B" w:usb2="00000009" w:usb3="00000000" w:csb0="000001FF" w:csb1="00000000"/>
  </w:font>
  <w:font w:name="Cambria Math">
    <w:altName w:val="Cambria Math"/>
    <w:panose1 w:val="02040503050004030204"/>
    <w:charset w:val="00"/>
    <w:family w:val="roman"/>
    <w:pitch w:val="variable"/>
    <w:sig w:usb0="E00006FF" w:usb1="420024FF" w:usb2="02000000" w:usb3="00000000" w:csb0="0000019F" w:csb1="00000000"/>
  </w:font>
  <w:font w:name="Wingdings">
    <w:altName w:val="Wingdings"/>
    <w:panose1 w:val="05000000000000000000"/>
    <w:charset w:val="02"/>
    <w:family w:val="auto"/>
    <w:pitch w:val="variable"/>
    <w:sig w:usb0="00000000" w:usb1="10000000" w:usb2="00000000" w:usb3="00000000" w:csb0="80000000" w:csb1="00000000"/>
  </w:font>
  <w:font w:name="Calibri Light">
    <w:altName w:val="Calibri Light"/>
    <w:panose1 w:val="020f0302020002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styleId="style156">
    <w:name w:val="Placeholder Text"/>
    <w:basedOn w:val="style65"/>
    <w:next w:val="style156"/>
    <w:uiPriority w:val="99"/>
    <w:rPr>
      <w:color w:val="808080"/>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9" Type="http://schemas.openxmlformats.org/officeDocument/2006/relationships/theme" Target="theme/theme1.xml"/><Relationship Id="rId5" Type="http://schemas.openxmlformats.org/officeDocument/2006/relationships/image" Target="media/image4.png"/><Relationship Id="rId6" Type="http://schemas.openxmlformats.org/officeDocument/2006/relationships/styles" Target="styles.xml"/><Relationship Id="rId7" Type="http://schemas.openxmlformats.org/officeDocument/2006/relationships/fontTable" Target="fontTable.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Words>662</Words>
  <Pages>3</Pages>
  <Characters>2325</Characters>
  <Application>WPS Office</Application>
  <DocSecurity>0</DocSecurity>
  <Paragraphs>32</Paragraphs>
  <ScaleCrop>false</ScaleCrop>
  <LinksUpToDate>false</LinksUpToDate>
  <CharactersWithSpaces>2981</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2021-09-16T17:00:00Z</dcterms:created>
  <dc:creator>ADMIN</dc:creator>
  <lastModifiedBy>Infinix X650D</lastModifiedBy>
  <dcterms:modified xsi:type="dcterms:W3CDTF">2021-09-16T20:03:17Z</dcterms:modified>
  <revision>4</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6e31476116d047d7b9e4db190e1b9008</vt:lpwstr>
  </property>
</Properties>
</file>