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772A58" w:rsidRPr="00C5257B" w:rsidRDefault="00772A58"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Attorney-Client Privilege</w:t>
      </w:r>
    </w:p>
    <w:p w:rsidR="00772A58" w:rsidRPr="00C5257B" w:rsidRDefault="00D20D21"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Name of the Student</w:t>
      </w:r>
    </w:p>
    <w:p w:rsidR="00D20D21" w:rsidRPr="00C5257B" w:rsidRDefault="00D20D21"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Institution</w:t>
      </w: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b/>
          <w:sz w:val="24"/>
          <w:szCs w:val="24"/>
        </w:rPr>
      </w:pPr>
      <w:r w:rsidRPr="00C5257B">
        <w:rPr>
          <w:rFonts w:ascii="Times New Roman" w:hAnsi="Times New Roman" w:cs="Times New Roman"/>
          <w:b/>
          <w:sz w:val="24"/>
          <w:szCs w:val="24"/>
        </w:rPr>
        <w:lastRenderedPageBreak/>
        <w:t>Attorney-Client Privilege</w:t>
      </w:r>
    </w:p>
    <w:p w:rsidR="00D20D21" w:rsidRPr="00C5257B" w:rsidRDefault="0078750D" w:rsidP="00C5257B">
      <w:pPr>
        <w:spacing w:after="0" w:line="480" w:lineRule="auto"/>
        <w:ind w:firstLine="720"/>
        <w:rPr>
          <w:rFonts w:ascii="Times New Roman" w:hAnsi="Times New Roman" w:cs="Times New Roman"/>
          <w:sz w:val="24"/>
          <w:szCs w:val="24"/>
        </w:rPr>
      </w:pPr>
      <w:r w:rsidRPr="0078750D">
        <w:rPr>
          <w:rFonts w:ascii="Times New Roman" w:hAnsi="Times New Roman" w:cs="Times New Roman"/>
          <w:sz w:val="24"/>
          <w:szCs w:val="24"/>
        </w:rPr>
        <w:t xml:space="preserve">My opinion is in </w:t>
      </w:r>
      <w:r w:rsidR="00F57BC4" w:rsidRPr="0078750D">
        <w:rPr>
          <w:rFonts w:ascii="Times New Roman" w:hAnsi="Times New Roman" w:cs="Times New Roman"/>
          <w:sz w:val="24"/>
          <w:szCs w:val="24"/>
        </w:rPr>
        <w:t>favor</w:t>
      </w:r>
      <w:r w:rsidRPr="0078750D">
        <w:rPr>
          <w:rFonts w:ascii="Times New Roman" w:hAnsi="Times New Roman" w:cs="Times New Roman"/>
          <w:sz w:val="24"/>
          <w:szCs w:val="24"/>
        </w:rPr>
        <w:t xml:space="preserve"> of the attorney-client privilege since it aims to offer assurity of confidentiality to a client over the information shared. </w:t>
      </w:r>
      <w:r w:rsidR="00D20D21" w:rsidRPr="00C5257B">
        <w:rPr>
          <w:rFonts w:ascii="Times New Roman" w:hAnsi="Times New Roman" w:cs="Times New Roman"/>
          <w:sz w:val="24"/>
          <w:szCs w:val="24"/>
        </w:rPr>
        <w:t>The attorney-client privilege is a privilege that a client refuse</w:t>
      </w:r>
      <w:r>
        <w:rPr>
          <w:rFonts w:ascii="Times New Roman" w:hAnsi="Times New Roman" w:cs="Times New Roman"/>
          <w:sz w:val="24"/>
          <w:szCs w:val="24"/>
        </w:rPr>
        <w:t>s</w:t>
      </w:r>
      <w:r w:rsidR="00D20D21" w:rsidRPr="00C5257B">
        <w:rPr>
          <w:rFonts w:ascii="Times New Roman" w:hAnsi="Times New Roman" w:cs="Times New Roman"/>
          <w:sz w:val="24"/>
          <w:szCs w:val="24"/>
        </w:rPr>
        <w:t xml:space="preserve"> to disclose or prevents any disclosure of confidential communications between the lawyer and the client. The attorney-client privilege is also known as a lawyer-client privilege which protects the confidential information that the client presents to the lawyer (</w:t>
      </w:r>
      <w:r w:rsidR="00D20D21" w:rsidRPr="00C5257B">
        <w:rPr>
          <w:rFonts w:ascii="Times New Roman" w:hAnsi="Times New Roman" w:cs="Times New Roman"/>
          <w:color w:val="222222"/>
          <w:sz w:val="24"/>
          <w:szCs w:val="24"/>
          <w:shd w:val="clear" w:color="auto" w:fill="FFFFFF"/>
        </w:rPr>
        <w:t>Silkenat, 2016</w:t>
      </w:r>
      <w:r w:rsidR="00D20D21" w:rsidRPr="00C5257B">
        <w:rPr>
          <w:rFonts w:ascii="Times New Roman" w:hAnsi="Times New Roman" w:cs="Times New Roman"/>
          <w:sz w:val="24"/>
          <w:szCs w:val="24"/>
        </w:rPr>
        <w:t>).</w:t>
      </w:r>
      <w:r>
        <w:rPr>
          <w:rFonts w:ascii="Times New Roman" w:hAnsi="Times New Roman" w:cs="Times New Roman"/>
          <w:sz w:val="24"/>
          <w:szCs w:val="24"/>
        </w:rPr>
        <w:t xml:space="preserve"> </w:t>
      </w:r>
      <w:r w:rsidR="00D20D21" w:rsidRPr="00C5257B">
        <w:rPr>
          <w:rFonts w:ascii="Times New Roman" w:hAnsi="Times New Roman" w:cs="Times New Roman"/>
          <w:sz w:val="24"/>
          <w:szCs w:val="24"/>
        </w:rPr>
        <w:t>Privilege encourages clients to be fully frank to the lawyer so that they can provide candid advice and make an effective representation of the client. The attorney-client privilege has three common elements which include: the holder of the privilege is the client, communication is made only to a member of the bar of the court and the attorney, and the purpose of communicating is to securing advice legally.</w:t>
      </w:r>
    </w:p>
    <w:p w:rsidR="00354B97" w:rsidRPr="00C5257B" w:rsidRDefault="0078750D" w:rsidP="00C5257B">
      <w:pPr>
        <w:spacing w:after="0" w:line="480" w:lineRule="auto"/>
        <w:ind w:firstLine="720"/>
        <w:rPr>
          <w:rFonts w:ascii="Times New Roman" w:hAnsi="Times New Roman" w:cs="Times New Roman"/>
          <w:sz w:val="24"/>
          <w:szCs w:val="24"/>
        </w:rPr>
      </w:pPr>
      <w:r w:rsidRPr="0078750D">
        <w:rPr>
          <w:rFonts w:ascii="Times New Roman" w:hAnsi="Times New Roman" w:cs="Times New Roman"/>
          <w:sz w:val="24"/>
          <w:szCs w:val="24"/>
        </w:rPr>
        <w:t xml:space="preserve">The attorney-client privilege is vital because it encourages the privacy of the client’s information. </w:t>
      </w:r>
      <w:r w:rsidR="00D20D21" w:rsidRPr="00C5257B">
        <w:rPr>
          <w:rFonts w:ascii="Times New Roman" w:hAnsi="Times New Roman" w:cs="Times New Roman"/>
          <w:sz w:val="24"/>
          <w:szCs w:val="24"/>
        </w:rPr>
        <w:t>It is important and ethical to adhere to the attorney-client rule because the client will be talking to the attorney hence, information becomes more private. The lawyer acting in legal capacity tends to offer legal service and advice to the client; hence, the client feels safe (</w:t>
      </w:r>
      <w:r w:rsidR="00D20D21" w:rsidRPr="00C5257B">
        <w:rPr>
          <w:rFonts w:ascii="Times New Roman" w:hAnsi="Times New Roman" w:cs="Times New Roman"/>
          <w:color w:val="222222"/>
          <w:sz w:val="24"/>
          <w:szCs w:val="24"/>
          <w:shd w:val="clear" w:color="auto" w:fill="FFFFFF"/>
        </w:rPr>
        <w:t>Saltzburg, 2016</w:t>
      </w:r>
      <w:r w:rsidR="00D20D21" w:rsidRPr="00C5257B">
        <w:rPr>
          <w:rFonts w:ascii="Times New Roman" w:hAnsi="Times New Roman" w:cs="Times New Roman"/>
          <w:sz w:val="24"/>
          <w:szCs w:val="24"/>
        </w:rPr>
        <w:t>). The advantage of this privilege is that the layer has no power over the defendant if the latter want to waiver or talk to the police. There are assured confidentiality in the information offered because the privilege covers all the communication made by the client to the lawyer. In case of a conflict, it is solved by waiving it through written consent</w:t>
      </w:r>
      <w:r w:rsidR="00C5257B" w:rsidRPr="00C5257B">
        <w:rPr>
          <w:rFonts w:ascii="Times New Roman" w:hAnsi="Times New Roman" w:cs="Times New Roman"/>
          <w:sz w:val="24"/>
          <w:szCs w:val="24"/>
        </w:rPr>
        <w:t xml:space="preserve"> (</w:t>
      </w:r>
      <w:r w:rsidR="00C5257B" w:rsidRPr="00C5257B">
        <w:rPr>
          <w:rFonts w:ascii="Times New Roman" w:hAnsi="Times New Roman" w:cs="Times New Roman"/>
          <w:color w:val="222222"/>
          <w:sz w:val="24"/>
          <w:szCs w:val="24"/>
          <w:shd w:val="clear" w:color="auto" w:fill="FFFFFF"/>
        </w:rPr>
        <w:t>Simon, 2017</w:t>
      </w:r>
      <w:r w:rsidR="00C5257B" w:rsidRPr="00C5257B">
        <w:rPr>
          <w:rFonts w:ascii="Times New Roman" w:hAnsi="Times New Roman" w:cs="Times New Roman"/>
          <w:sz w:val="24"/>
          <w:szCs w:val="24"/>
        </w:rPr>
        <w:t>)</w:t>
      </w:r>
      <w:r w:rsidR="00D20D21" w:rsidRPr="00C5257B">
        <w:rPr>
          <w:rFonts w:ascii="Times New Roman" w:hAnsi="Times New Roman" w:cs="Times New Roman"/>
          <w:sz w:val="24"/>
          <w:szCs w:val="24"/>
        </w:rPr>
        <w:t>. Common laws govern the principles of the attorney-client privilege, so, in case of a breach, the lawyer faces the court with a trial. The principles are from the federal common law that sets the rules and regulation that govern a country.</w:t>
      </w:r>
      <w:r w:rsidR="00B61598" w:rsidRPr="00C5257B">
        <w:rPr>
          <w:rFonts w:ascii="Times New Roman" w:hAnsi="Times New Roman" w:cs="Times New Roman"/>
          <w:sz w:val="24"/>
          <w:szCs w:val="24"/>
        </w:rPr>
        <w:t xml:space="preserve"> In federal courts, the privilege is used when a federal question has risen. This theory shows how privilege is essential in decision making in court. What a client needs is someone who will listen to them. The lawyer provides the platform which will make the client be confident and trust the attorney. When trust and confidentiality are established, the client will talk freely and frankly.</w:t>
      </w:r>
    </w:p>
    <w:p w:rsidR="00D20D21" w:rsidRPr="00C5257B" w:rsidRDefault="00D20D21" w:rsidP="00C5257B">
      <w:pPr>
        <w:spacing w:after="0" w:line="480" w:lineRule="auto"/>
        <w:rPr>
          <w:rFonts w:ascii="Times New Roman" w:hAnsi="Times New Roman" w:cs="Times New Roman"/>
          <w:sz w:val="24"/>
          <w:szCs w:val="24"/>
        </w:rPr>
      </w:pPr>
    </w:p>
    <w:p w:rsidR="00D20D21" w:rsidRPr="00C5257B" w:rsidRDefault="00D20D21" w:rsidP="00C5257B">
      <w:pPr>
        <w:spacing w:after="0" w:line="480" w:lineRule="auto"/>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49128B">
      <w:pPr>
        <w:spacing w:after="0" w:line="480" w:lineRule="auto"/>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References</w:t>
      </w:r>
    </w:p>
    <w:p w:rsidR="00D20D21" w:rsidRPr="00C5257B" w:rsidRDefault="00D20D21" w:rsidP="00C5257B">
      <w:pPr>
        <w:spacing w:after="0" w:line="480" w:lineRule="auto"/>
        <w:rPr>
          <w:rFonts w:ascii="Times New Roman" w:hAnsi="Times New Roman" w:cs="Times New Roman"/>
          <w:sz w:val="24"/>
          <w:szCs w:val="24"/>
        </w:rPr>
      </w:pPr>
      <w:r w:rsidRPr="00C5257B">
        <w:rPr>
          <w:rFonts w:ascii="Times New Roman" w:hAnsi="Times New Roman" w:cs="Times New Roman"/>
          <w:color w:val="222222"/>
          <w:sz w:val="24"/>
          <w:szCs w:val="24"/>
          <w:shd w:val="clear" w:color="auto" w:fill="FFFFFF"/>
        </w:rPr>
        <w:t>Saltzburg, S. A. (2016). Attorney-Client Privilege and Common Interest. </w:t>
      </w:r>
      <w:r w:rsidRPr="00C5257B">
        <w:rPr>
          <w:rFonts w:ascii="Times New Roman" w:hAnsi="Times New Roman" w:cs="Times New Roman"/>
          <w:i/>
          <w:iCs/>
          <w:color w:val="222222"/>
          <w:sz w:val="24"/>
          <w:szCs w:val="24"/>
          <w:shd w:val="clear" w:color="auto" w:fill="FFFFFF"/>
        </w:rPr>
        <w:t>Crim. Just.</w:t>
      </w:r>
      <w:r w:rsidRPr="00C5257B">
        <w:rPr>
          <w:rFonts w:ascii="Times New Roman" w:hAnsi="Times New Roman" w:cs="Times New Roman"/>
          <w:color w:val="222222"/>
          <w:sz w:val="24"/>
          <w:szCs w:val="24"/>
          <w:shd w:val="clear" w:color="auto" w:fill="FFFFFF"/>
        </w:rPr>
        <w:t>, </w:t>
      </w:r>
      <w:r w:rsidRPr="00C5257B">
        <w:rPr>
          <w:rFonts w:ascii="Times New Roman" w:hAnsi="Times New Roman" w:cs="Times New Roman"/>
          <w:i/>
          <w:iCs/>
          <w:color w:val="222222"/>
          <w:sz w:val="24"/>
          <w:szCs w:val="24"/>
          <w:shd w:val="clear" w:color="auto" w:fill="FFFFFF"/>
        </w:rPr>
        <w:t>31</w:t>
      </w:r>
      <w:r w:rsidRPr="00C5257B">
        <w:rPr>
          <w:rFonts w:ascii="Times New Roman" w:hAnsi="Times New Roman" w:cs="Times New Roman"/>
          <w:color w:val="222222"/>
          <w:sz w:val="24"/>
          <w:szCs w:val="24"/>
          <w:shd w:val="clear" w:color="auto" w:fill="FFFFFF"/>
        </w:rPr>
        <w:t>, 47.</w:t>
      </w:r>
    </w:p>
    <w:p w:rsidR="00C5257B" w:rsidRPr="00C5257B" w:rsidRDefault="00C5257B" w:rsidP="00C5257B">
      <w:pPr>
        <w:spacing w:after="0" w:line="480" w:lineRule="auto"/>
        <w:rPr>
          <w:rFonts w:ascii="Times New Roman" w:hAnsi="Times New Roman" w:cs="Times New Roman"/>
          <w:color w:val="222222"/>
          <w:sz w:val="24"/>
          <w:szCs w:val="24"/>
          <w:shd w:val="clear" w:color="auto" w:fill="FFFFFF"/>
        </w:rPr>
      </w:pPr>
      <w:r w:rsidRPr="00C5257B">
        <w:rPr>
          <w:rFonts w:ascii="Times New Roman" w:hAnsi="Times New Roman" w:cs="Times New Roman"/>
          <w:color w:val="222222"/>
          <w:sz w:val="24"/>
          <w:szCs w:val="24"/>
          <w:shd w:val="clear" w:color="auto" w:fill="FFFFFF"/>
        </w:rPr>
        <w:t>Silkenat, J. R., &amp; Van Gerven, D. (Eds.). (2016). </w:t>
      </w:r>
      <w:r w:rsidRPr="00C5257B">
        <w:rPr>
          <w:rFonts w:ascii="Times New Roman" w:hAnsi="Times New Roman" w:cs="Times New Roman"/>
          <w:i/>
          <w:iCs/>
          <w:color w:val="222222"/>
          <w:sz w:val="24"/>
          <w:szCs w:val="24"/>
          <w:shd w:val="clear" w:color="auto" w:fill="FFFFFF"/>
        </w:rPr>
        <w:t>Attorney-client Privilege in the Americas:</w:t>
      </w:r>
      <w:r w:rsidRPr="00C5257B">
        <w:rPr>
          <w:rFonts w:ascii="Times New Roman" w:hAnsi="Times New Roman" w:cs="Times New Roman"/>
          <w:i/>
          <w:iCs/>
          <w:color w:val="222222"/>
          <w:sz w:val="24"/>
          <w:szCs w:val="24"/>
          <w:shd w:val="clear" w:color="auto" w:fill="FFFFFF"/>
        </w:rPr>
        <w:tab/>
        <w:t>Professional Secrecy of Lawyers</w:t>
      </w:r>
      <w:r w:rsidRPr="00C5257B">
        <w:rPr>
          <w:rFonts w:ascii="Times New Roman" w:hAnsi="Times New Roman" w:cs="Times New Roman"/>
          <w:color w:val="222222"/>
          <w:sz w:val="24"/>
          <w:szCs w:val="24"/>
          <w:shd w:val="clear" w:color="auto" w:fill="FFFFFF"/>
        </w:rPr>
        <w:t>. Cambridge University Press.</w:t>
      </w:r>
    </w:p>
    <w:p w:rsidR="00C5257B" w:rsidRPr="00C5257B" w:rsidRDefault="00C5257B" w:rsidP="00C5257B">
      <w:pPr>
        <w:spacing w:line="480" w:lineRule="auto"/>
        <w:rPr>
          <w:rFonts w:ascii="Times New Roman" w:hAnsi="Times New Roman" w:cs="Times New Roman"/>
          <w:sz w:val="24"/>
          <w:szCs w:val="24"/>
        </w:rPr>
      </w:pPr>
      <w:r w:rsidRPr="00C5257B">
        <w:rPr>
          <w:rFonts w:ascii="Times New Roman" w:hAnsi="Times New Roman" w:cs="Times New Roman"/>
          <w:color w:val="222222"/>
          <w:sz w:val="24"/>
          <w:szCs w:val="24"/>
          <w:shd w:val="clear" w:color="auto" w:fill="FFFFFF"/>
        </w:rPr>
        <w:t>Simon, W. H. (2017). Attorney-Client Confidentiality: A Critical Analysis. </w:t>
      </w:r>
      <w:r>
        <w:rPr>
          <w:rFonts w:ascii="Times New Roman" w:hAnsi="Times New Roman" w:cs="Times New Roman"/>
          <w:i/>
          <w:iCs/>
          <w:color w:val="222222"/>
          <w:sz w:val="24"/>
          <w:szCs w:val="24"/>
          <w:shd w:val="clear" w:color="auto" w:fill="FFFFFF"/>
        </w:rPr>
        <w:t>G</w:t>
      </w:r>
      <w:bookmarkStart w:id="0" w:name="_GoBack"/>
      <w:bookmarkEnd w:id="0"/>
      <w:r>
        <w:rPr>
          <w:rFonts w:ascii="Times New Roman" w:hAnsi="Times New Roman" w:cs="Times New Roman"/>
          <w:i/>
          <w:iCs/>
          <w:color w:val="222222"/>
          <w:sz w:val="24"/>
          <w:szCs w:val="24"/>
          <w:shd w:val="clear" w:color="auto" w:fill="FFFFFF"/>
        </w:rPr>
        <w:t>eo. J. Legal</w:t>
      </w:r>
      <w:r>
        <w:rPr>
          <w:rFonts w:ascii="Times New Roman" w:hAnsi="Times New Roman" w:cs="Times New Roman"/>
          <w:i/>
          <w:iCs/>
          <w:color w:val="222222"/>
          <w:sz w:val="24"/>
          <w:szCs w:val="24"/>
          <w:shd w:val="clear" w:color="auto" w:fill="FFFFFF"/>
        </w:rPr>
        <w:tab/>
      </w:r>
      <w:r w:rsidRPr="00C5257B">
        <w:rPr>
          <w:rFonts w:ascii="Times New Roman" w:hAnsi="Times New Roman" w:cs="Times New Roman"/>
          <w:i/>
          <w:iCs/>
          <w:color w:val="222222"/>
          <w:sz w:val="24"/>
          <w:szCs w:val="24"/>
          <w:shd w:val="clear" w:color="auto" w:fill="FFFFFF"/>
        </w:rPr>
        <w:t>Ethics</w:t>
      </w:r>
      <w:r w:rsidRPr="00C5257B">
        <w:rPr>
          <w:rFonts w:ascii="Times New Roman" w:hAnsi="Times New Roman" w:cs="Times New Roman"/>
          <w:color w:val="222222"/>
          <w:sz w:val="24"/>
          <w:szCs w:val="24"/>
          <w:shd w:val="clear" w:color="auto" w:fill="FFFFFF"/>
        </w:rPr>
        <w:t>, </w:t>
      </w:r>
      <w:r w:rsidRPr="00C5257B">
        <w:rPr>
          <w:rFonts w:ascii="Times New Roman" w:hAnsi="Times New Roman" w:cs="Times New Roman"/>
          <w:i/>
          <w:iCs/>
          <w:color w:val="222222"/>
          <w:sz w:val="24"/>
          <w:szCs w:val="24"/>
          <w:shd w:val="clear" w:color="auto" w:fill="FFFFFF"/>
        </w:rPr>
        <w:t>30</w:t>
      </w:r>
      <w:r w:rsidRPr="00C5257B">
        <w:rPr>
          <w:rFonts w:ascii="Times New Roman" w:hAnsi="Times New Roman" w:cs="Times New Roman"/>
          <w:color w:val="222222"/>
          <w:sz w:val="24"/>
          <w:szCs w:val="24"/>
          <w:shd w:val="clear" w:color="auto" w:fill="FFFFFF"/>
        </w:rPr>
        <w:t>, 447.</w:t>
      </w:r>
    </w:p>
    <w:sectPr w:rsidR="00C5257B" w:rsidRPr="00C5257B" w:rsidSect="00772A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41B" w:rsidRDefault="00CE341B" w:rsidP="00772A58">
      <w:pPr>
        <w:spacing w:after="0" w:line="240" w:lineRule="auto"/>
      </w:pPr>
      <w:r>
        <w:separator/>
      </w:r>
    </w:p>
  </w:endnote>
  <w:endnote w:type="continuationSeparator" w:id="0">
    <w:p w:rsidR="00CE341B" w:rsidRDefault="00CE341B" w:rsidP="00772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41B" w:rsidRDefault="00CE341B" w:rsidP="00772A58">
      <w:pPr>
        <w:spacing w:after="0" w:line="240" w:lineRule="auto"/>
      </w:pPr>
      <w:r>
        <w:separator/>
      </w:r>
    </w:p>
  </w:footnote>
  <w:footnote w:type="continuationSeparator" w:id="0">
    <w:p w:rsidR="00CE341B" w:rsidRDefault="00CE341B" w:rsidP="00772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D21" w:rsidRPr="00D20D21" w:rsidRDefault="00D20D21" w:rsidP="00D20D21">
    <w:pPr>
      <w:pStyle w:val="Header"/>
      <w:spacing w:line="480" w:lineRule="auto"/>
      <w:jc w:val="right"/>
      <w:rPr>
        <w:rFonts w:ascii="Times New Roman" w:hAnsi="Times New Roman" w:cs="Times New Roman"/>
        <w:sz w:val="24"/>
        <w:szCs w:val="24"/>
      </w:rPr>
    </w:pPr>
    <w:r w:rsidRPr="00D20D21">
      <w:rPr>
        <w:rFonts w:ascii="Times New Roman" w:hAnsi="Times New Roman" w:cs="Times New Roman"/>
        <w:sz w:val="24"/>
        <w:szCs w:val="24"/>
      </w:rPr>
      <w:t>ATTORNEY-CLIENT PRIVILEGE</w:t>
    </w:r>
    <w:r w:rsidRPr="00D20D21">
      <w:rPr>
        <w:rFonts w:ascii="Times New Roman" w:hAnsi="Times New Roman" w:cs="Times New Roman"/>
        <w:sz w:val="24"/>
        <w:szCs w:val="24"/>
      </w:rPr>
      <w:tab/>
    </w:r>
    <w:r w:rsidRPr="00D20D21">
      <w:rPr>
        <w:rFonts w:ascii="Times New Roman" w:hAnsi="Times New Roman" w:cs="Times New Roman"/>
        <w:sz w:val="24"/>
        <w:szCs w:val="24"/>
      </w:rPr>
      <w:tab/>
    </w:r>
    <w:sdt>
      <w:sdtPr>
        <w:rPr>
          <w:rFonts w:ascii="Times New Roman" w:hAnsi="Times New Roman" w:cs="Times New Roman"/>
          <w:sz w:val="24"/>
          <w:szCs w:val="24"/>
        </w:rPr>
        <w:id w:val="20827837"/>
        <w:docPartObj>
          <w:docPartGallery w:val="Page Numbers (Top of Page)"/>
          <w:docPartUnique/>
        </w:docPartObj>
      </w:sdtPr>
      <w:sdtEndPr/>
      <w:sdtContent>
        <w:r w:rsidR="004F3C15" w:rsidRPr="00D20D21">
          <w:rPr>
            <w:rFonts w:ascii="Times New Roman" w:hAnsi="Times New Roman" w:cs="Times New Roman"/>
            <w:sz w:val="24"/>
            <w:szCs w:val="24"/>
          </w:rPr>
          <w:fldChar w:fldCharType="begin"/>
        </w:r>
        <w:r w:rsidRPr="00D20D21">
          <w:rPr>
            <w:rFonts w:ascii="Times New Roman" w:hAnsi="Times New Roman" w:cs="Times New Roman"/>
            <w:sz w:val="24"/>
            <w:szCs w:val="24"/>
          </w:rPr>
          <w:instrText xml:space="preserve"> PAGE   \* MERGEFORMAT </w:instrText>
        </w:r>
        <w:r w:rsidR="004F3C15" w:rsidRPr="00D20D21">
          <w:rPr>
            <w:rFonts w:ascii="Times New Roman" w:hAnsi="Times New Roman" w:cs="Times New Roman"/>
            <w:sz w:val="24"/>
            <w:szCs w:val="24"/>
          </w:rPr>
          <w:fldChar w:fldCharType="separate"/>
        </w:r>
        <w:r w:rsidR="00F57BC4">
          <w:rPr>
            <w:rFonts w:ascii="Times New Roman" w:hAnsi="Times New Roman" w:cs="Times New Roman"/>
            <w:noProof/>
            <w:sz w:val="24"/>
            <w:szCs w:val="24"/>
          </w:rPr>
          <w:t>4</w:t>
        </w:r>
        <w:r w:rsidR="004F3C15" w:rsidRPr="00D20D2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A58" w:rsidRPr="00772A58" w:rsidRDefault="00772A58" w:rsidP="00772A58">
    <w:pPr>
      <w:pStyle w:val="Header"/>
      <w:spacing w:line="480" w:lineRule="auto"/>
      <w:jc w:val="right"/>
      <w:rPr>
        <w:rFonts w:ascii="Times New Roman" w:hAnsi="Times New Roman" w:cs="Times New Roman"/>
        <w:sz w:val="24"/>
        <w:szCs w:val="24"/>
      </w:rPr>
    </w:pPr>
    <w:r w:rsidRPr="00772A58">
      <w:rPr>
        <w:rFonts w:ascii="Times New Roman" w:hAnsi="Times New Roman" w:cs="Times New Roman"/>
        <w:sz w:val="24"/>
        <w:szCs w:val="24"/>
      </w:rPr>
      <w:t xml:space="preserve">Running Head: ATTORNEY-CLIENT PRIVILEGE </w:t>
    </w:r>
    <w:r w:rsidRPr="00772A58">
      <w:rPr>
        <w:rFonts w:ascii="Times New Roman" w:hAnsi="Times New Roman" w:cs="Times New Roman"/>
        <w:sz w:val="24"/>
        <w:szCs w:val="24"/>
      </w:rPr>
      <w:tab/>
    </w:r>
    <w:r w:rsidRPr="00772A58">
      <w:rPr>
        <w:rFonts w:ascii="Times New Roman" w:hAnsi="Times New Roman" w:cs="Times New Roman"/>
        <w:sz w:val="24"/>
        <w:szCs w:val="24"/>
      </w:rPr>
      <w:tab/>
    </w:r>
    <w:sdt>
      <w:sdtPr>
        <w:rPr>
          <w:rFonts w:ascii="Times New Roman" w:hAnsi="Times New Roman" w:cs="Times New Roman"/>
          <w:sz w:val="24"/>
          <w:szCs w:val="24"/>
        </w:rPr>
        <w:id w:val="20827782"/>
        <w:docPartObj>
          <w:docPartGallery w:val="Page Numbers (Top of Page)"/>
          <w:docPartUnique/>
        </w:docPartObj>
      </w:sdtPr>
      <w:sdtEndPr/>
      <w:sdtContent>
        <w:r w:rsidR="004F3C15" w:rsidRPr="00772A58">
          <w:rPr>
            <w:rFonts w:ascii="Times New Roman" w:hAnsi="Times New Roman" w:cs="Times New Roman"/>
            <w:sz w:val="24"/>
            <w:szCs w:val="24"/>
          </w:rPr>
          <w:fldChar w:fldCharType="begin"/>
        </w:r>
        <w:r w:rsidRPr="00772A58">
          <w:rPr>
            <w:rFonts w:ascii="Times New Roman" w:hAnsi="Times New Roman" w:cs="Times New Roman"/>
            <w:sz w:val="24"/>
            <w:szCs w:val="24"/>
          </w:rPr>
          <w:instrText xml:space="preserve"> PAGE   \* MERGEFORMAT </w:instrText>
        </w:r>
        <w:r w:rsidR="004F3C15" w:rsidRPr="00772A58">
          <w:rPr>
            <w:rFonts w:ascii="Times New Roman" w:hAnsi="Times New Roman" w:cs="Times New Roman"/>
            <w:sz w:val="24"/>
            <w:szCs w:val="24"/>
          </w:rPr>
          <w:fldChar w:fldCharType="separate"/>
        </w:r>
        <w:r w:rsidR="00CE341B">
          <w:rPr>
            <w:rFonts w:ascii="Times New Roman" w:hAnsi="Times New Roman" w:cs="Times New Roman"/>
            <w:noProof/>
            <w:sz w:val="24"/>
            <w:szCs w:val="24"/>
          </w:rPr>
          <w:t>1</w:t>
        </w:r>
        <w:r w:rsidR="004F3C15" w:rsidRPr="00772A5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83729"/>
    <w:rsid w:val="00063BD5"/>
    <w:rsid w:val="000B529E"/>
    <w:rsid w:val="0023640E"/>
    <w:rsid w:val="00354B97"/>
    <w:rsid w:val="0049128B"/>
    <w:rsid w:val="004F3C15"/>
    <w:rsid w:val="005469CF"/>
    <w:rsid w:val="00552AEA"/>
    <w:rsid w:val="00640D01"/>
    <w:rsid w:val="00772A58"/>
    <w:rsid w:val="0078750D"/>
    <w:rsid w:val="009709D8"/>
    <w:rsid w:val="00B61598"/>
    <w:rsid w:val="00B9681C"/>
    <w:rsid w:val="00C5257B"/>
    <w:rsid w:val="00CE341B"/>
    <w:rsid w:val="00D20D21"/>
    <w:rsid w:val="00D30AFC"/>
    <w:rsid w:val="00D9539C"/>
    <w:rsid w:val="00E10E96"/>
    <w:rsid w:val="00F57BC4"/>
    <w:rsid w:val="00F83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A58"/>
  </w:style>
  <w:style w:type="paragraph" w:styleId="Footer">
    <w:name w:val="footer"/>
    <w:basedOn w:val="Normal"/>
    <w:link w:val="FooterChar"/>
    <w:uiPriority w:val="99"/>
    <w:semiHidden/>
    <w:unhideWhenUsed/>
    <w:rsid w:val="00772A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2A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2019-10-04T04:00:00Z</dcterms:created>
  <dcterms:modified xsi:type="dcterms:W3CDTF">2019-10-04T04:00:00Z</dcterms:modified>
</cp:coreProperties>
</file>