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88291" w14:textId="73EBB53F" w:rsidR="00E01672" w:rsidRDefault="00E01672" w:rsidP="004022E8">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349534F0" w14:textId="307B0504" w:rsidR="00E01672" w:rsidRDefault="00E01672" w:rsidP="004022E8">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Institution Affiliation</w:t>
      </w:r>
    </w:p>
    <w:p w14:paraId="7A7C3920" w14:textId="684C86E2" w:rsidR="00E01672" w:rsidRDefault="00E01672" w:rsidP="004022E8">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Date of Submission</w:t>
      </w:r>
    </w:p>
    <w:p w14:paraId="5ADF74ED" w14:textId="1C7B7B5C" w:rsidR="00E01672" w:rsidRDefault="004022E8" w:rsidP="004022E8">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w:t>
      </w:r>
      <w:r w:rsidR="00E01672">
        <w:rPr>
          <w:rFonts w:ascii="Times New Roman" w:hAnsi="Times New Roman" w:cs="Times New Roman"/>
          <w:sz w:val="24"/>
          <w:szCs w:val="24"/>
          <w:lang w:val="en-US"/>
        </w:rPr>
        <w:t>rofess</w:t>
      </w:r>
      <w:r>
        <w:rPr>
          <w:rFonts w:ascii="Times New Roman" w:hAnsi="Times New Roman" w:cs="Times New Roman"/>
          <w:sz w:val="24"/>
          <w:szCs w:val="24"/>
          <w:lang w:val="en-US"/>
        </w:rPr>
        <w:t>ors Name</w:t>
      </w:r>
    </w:p>
    <w:p w14:paraId="3C02925D" w14:textId="76AE0CA8" w:rsidR="00A742ED" w:rsidRDefault="00F458A0" w:rsidP="004022E8">
      <w:pPr>
        <w:spacing w:line="480" w:lineRule="auto"/>
        <w:ind w:firstLine="72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Atxaga</w:t>
      </w:r>
      <w:proofErr w:type="spellEnd"/>
      <w:r>
        <w:rPr>
          <w:rFonts w:ascii="Times New Roman" w:hAnsi="Times New Roman" w:cs="Times New Roman"/>
          <w:sz w:val="24"/>
          <w:szCs w:val="24"/>
          <w:lang w:val="en-US"/>
        </w:rPr>
        <w:t>, “The Rich Merchant’s Servant” and “Dayoub, the Rich Merchant’s Servant”</w:t>
      </w:r>
    </w:p>
    <w:p w14:paraId="53F6114B" w14:textId="69563107" w:rsidR="001D60FE" w:rsidRDefault="00F458A0" w:rsidP="004022E8">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Author, Bernardo Atxaga, employs a unique style of writing. Through different books, he is able to deliver the same message to his audience. Adapting two different styles to achieve a similar goal is creativity that should be embraced. It would be better if authors would try every means possible to reach the message to the audience as Atxaga did.</w:t>
      </w:r>
    </w:p>
    <w:p w14:paraId="67E88656" w14:textId="77777777" w:rsidR="00C4549E" w:rsidRDefault="00F458A0" w:rsidP="004022E8">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interesting thing about the two books, "The Rich Merchant</w:t>
      </w:r>
      <w:r w:rsidR="00FE5BC8">
        <w:rPr>
          <w:rFonts w:ascii="Times New Roman" w:hAnsi="Times New Roman" w:cs="Times New Roman"/>
          <w:sz w:val="24"/>
          <w:szCs w:val="24"/>
          <w:lang w:val="en-US"/>
        </w:rPr>
        <w:t>’s Servant</w:t>
      </w:r>
      <w:r>
        <w:rPr>
          <w:rFonts w:ascii="Times New Roman" w:hAnsi="Times New Roman" w:cs="Times New Roman"/>
          <w:sz w:val="24"/>
          <w:szCs w:val="24"/>
          <w:lang w:val="en-US"/>
        </w:rPr>
        <w:t>”</w:t>
      </w:r>
      <w:r w:rsidR="00FE5BC8">
        <w:rPr>
          <w:rFonts w:ascii="Times New Roman" w:hAnsi="Times New Roman" w:cs="Times New Roman"/>
          <w:sz w:val="24"/>
          <w:szCs w:val="24"/>
          <w:lang w:val="en-US"/>
        </w:rPr>
        <w:t xml:space="preserve"> and "Dayoub, the Rich Merchant's Servant" is the opening and closing formula. They both start with a descriptive style that plays the role of making the audience want to read what is about to happen. Although the style differs as the story continues within the two books, in the end, the closing becomes converging. They end the same way, to the surp</w:t>
      </w:r>
      <w:r>
        <w:rPr>
          <w:rFonts w:ascii="Times New Roman" w:hAnsi="Times New Roman" w:cs="Times New Roman"/>
          <w:sz w:val="24"/>
          <w:szCs w:val="24"/>
          <w:lang w:val="en-US"/>
        </w:rPr>
        <w:t>rise of the audience.</w:t>
      </w:r>
    </w:p>
    <w:p w14:paraId="2AA3B7CE" w14:textId="3BE2E7C5" w:rsidR="00536F90" w:rsidRDefault="00F458A0" w:rsidP="004022E8">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To get the message across to the largest audience possible needs a strategic plan. Axtaga employed the formulation of differentiating the bodies of his books. A person reading “The Rich Merchant’s Servant” and the other reading “Dayoub, the Rich Merchant’s Servant” will not believe they were written by the same author. He is perfect in displaying different styles not close enough to each other and delivering the same message.</w:t>
      </w:r>
    </w:p>
    <w:p w14:paraId="62A2220B" w14:textId="5EDED0DD" w:rsidR="00C4549E" w:rsidRDefault="00F458A0" w:rsidP="004022E8">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basic overview of the stories is fate. By the end of the stories, we can conclude fate as inevitable and not controllable. Fate challenges both the servant in “The Rich Merchant’s Servant” and Dayoub, who plays the servant role in “Dayoub, the Rich Merchant’s Servant”. In both scenarios, fate plays its part by employing death to succumb the servants. However, the </w:t>
      </w:r>
      <w:r>
        <w:rPr>
          <w:rFonts w:ascii="Times New Roman" w:hAnsi="Times New Roman" w:cs="Times New Roman"/>
          <w:sz w:val="24"/>
          <w:szCs w:val="24"/>
          <w:lang w:val="en-US"/>
        </w:rPr>
        <w:lastRenderedPageBreak/>
        <w:t>servants seem to be so stubborn about accepting the deal of fate and we see them trying to challenge their eventual deaths.</w:t>
      </w:r>
    </w:p>
    <w:p w14:paraId="24FFA9EB" w14:textId="7D64E3E2" w:rsidR="000F7F81" w:rsidRDefault="00F458A0" w:rsidP="004022E8">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4022E8">
        <w:rPr>
          <w:rFonts w:ascii="Times New Roman" w:hAnsi="Times New Roman" w:cs="Times New Roman"/>
          <w:sz w:val="24"/>
          <w:szCs w:val="24"/>
          <w:lang w:val="en-US"/>
        </w:rPr>
        <w:tab/>
      </w:r>
      <w:r>
        <w:rPr>
          <w:rFonts w:ascii="Times New Roman" w:hAnsi="Times New Roman" w:cs="Times New Roman"/>
          <w:sz w:val="24"/>
          <w:szCs w:val="24"/>
          <w:lang w:val="en-US"/>
        </w:rPr>
        <w:t xml:space="preserve">The servant in “The Rich Merchant’s Servant”, learns about death quite early in the morning of a fine day. He sees death in a supermarket and fear that he might die. He, therefore, formulates a plan and runs away from Baghdad land and runs off to </w:t>
      </w:r>
      <w:r w:rsidR="00337096">
        <w:rPr>
          <w:rFonts w:ascii="Times New Roman" w:hAnsi="Times New Roman" w:cs="Times New Roman"/>
          <w:sz w:val="24"/>
          <w:szCs w:val="24"/>
          <w:lang w:val="en-US"/>
        </w:rPr>
        <w:t>Isfahan</w:t>
      </w:r>
      <w:r>
        <w:rPr>
          <w:rFonts w:ascii="Times New Roman" w:hAnsi="Times New Roman" w:cs="Times New Roman"/>
          <w:sz w:val="24"/>
          <w:szCs w:val="24"/>
          <w:lang w:val="en-US"/>
        </w:rPr>
        <w:t>.</w:t>
      </w:r>
      <w:r w:rsidR="00337096">
        <w:rPr>
          <w:rFonts w:ascii="Times New Roman" w:hAnsi="Times New Roman" w:cs="Times New Roman"/>
          <w:sz w:val="24"/>
          <w:szCs w:val="24"/>
          <w:lang w:val="en-US"/>
        </w:rPr>
        <w:t xml:space="preserve"> Later during the day, the Merchant goes to question death. </w:t>
      </w:r>
    </w:p>
    <w:p w14:paraId="15B45A18" w14:textId="67E2D30B" w:rsidR="00337096" w:rsidRDefault="00F458A0" w:rsidP="004022E8">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He gets surprised about Death having seen his servant already. Death openly tells him that during the night, he will carry off his servant and will happen inland of Isfahan. Interestingly, the servant had already fled off to Isfahan, without conscience that that is where his life will get shuttered. As he was saying that to the Merchant, Death had no idea that the servant had fled to his dying spot. </w:t>
      </w:r>
    </w:p>
    <w:p w14:paraId="03C72F88" w14:textId="23A823E9" w:rsidR="002F0B7A" w:rsidRDefault="00F458A0" w:rsidP="004022E8">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After reading both articles, I may conclude it is impossible to reverse fate. In many cases, fate will always come unexpected and unluckily to us, it will always have weapons for its mission. We can make that as the conclusion and message from author Bernado Atxaga. Although, different persons may read and make their conclusions away from mine, the best part about if all is fate. We live in fate and by fate. But fate will works on us positively sometimes, it does not always have to challenge us. </w:t>
      </w:r>
    </w:p>
    <w:p w14:paraId="0B7252E6" w14:textId="77777777" w:rsidR="000F7F81" w:rsidRDefault="000F7F81" w:rsidP="004022E8">
      <w:pPr>
        <w:spacing w:line="480" w:lineRule="auto"/>
        <w:jc w:val="both"/>
        <w:rPr>
          <w:rFonts w:ascii="Times New Roman" w:hAnsi="Times New Roman" w:cs="Times New Roman"/>
          <w:sz w:val="24"/>
          <w:szCs w:val="24"/>
          <w:lang w:val="en-US"/>
        </w:rPr>
      </w:pPr>
    </w:p>
    <w:p w14:paraId="31130C34" w14:textId="77777777" w:rsidR="000F7F81" w:rsidRPr="001D60FE" w:rsidRDefault="000F7F81" w:rsidP="004022E8">
      <w:pPr>
        <w:spacing w:line="480" w:lineRule="auto"/>
        <w:jc w:val="both"/>
        <w:rPr>
          <w:rFonts w:ascii="Times New Roman" w:hAnsi="Times New Roman" w:cs="Times New Roman"/>
          <w:sz w:val="24"/>
          <w:szCs w:val="24"/>
          <w:lang w:val="en-US"/>
        </w:rPr>
      </w:pPr>
    </w:p>
    <w:sectPr w:rsidR="000F7F81" w:rsidRPr="001D60FE">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5E311" w14:textId="77777777" w:rsidR="0045663E" w:rsidRDefault="0045663E" w:rsidP="004022E8">
      <w:pPr>
        <w:spacing w:after="0" w:line="240" w:lineRule="auto"/>
      </w:pPr>
      <w:r>
        <w:separator/>
      </w:r>
    </w:p>
  </w:endnote>
  <w:endnote w:type="continuationSeparator" w:id="0">
    <w:p w14:paraId="6834A16A" w14:textId="77777777" w:rsidR="0045663E" w:rsidRDefault="0045663E" w:rsidP="00402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66092" w14:textId="77777777" w:rsidR="0045663E" w:rsidRDefault="0045663E" w:rsidP="004022E8">
      <w:pPr>
        <w:spacing w:after="0" w:line="240" w:lineRule="auto"/>
      </w:pPr>
      <w:r>
        <w:separator/>
      </w:r>
    </w:p>
  </w:footnote>
  <w:footnote w:type="continuationSeparator" w:id="0">
    <w:p w14:paraId="0101943F" w14:textId="77777777" w:rsidR="0045663E" w:rsidRDefault="0045663E" w:rsidP="004022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1C7D7" w14:textId="34C514C1" w:rsidR="004022E8" w:rsidRDefault="004022E8">
    <w:pPr>
      <w:pStyle w:val="Header"/>
      <w:jc w:val="right"/>
    </w:pPr>
    <w:r>
      <w:rPr>
        <w:lang w:val="en-US"/>
      </w:rPr>
      <w:t xml:space="preserve">SURNAME </w:t>
    </w:r>
    <w:sdt>
      <w:sdtPr>
        <w:id w:val="9804281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77C7A68" w14:textId="77777777" w:rsidR="004022E8" w:rsidRDefault="004022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0FE"/>
    <w:rsid w:val="000F7F81"/>
    <w:rsid w:val="001D60FE"/>
    <w:rsid w:val="002F0B7A"/>
    <w:rsid w:val="00324AAF"/>
    <w:rsid w:val="00337096"/>
    <w:rsid w:val="004022E8"/>
    <w:rsid w:val="0045663E"/>
    <w:rsid w:val="00536F90"/>
    <w:rsid w:val="00A742ED"/>
    <w:rsid w:val="00B7752B"/>
    <w:rsid w:val="00C4549E"/>
    <w:rsid w:val="00E01672"/>
    <w:rsid w:val="00F458A0"/>
    <w:rsid w:val="00FE5BC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64F81"/>
  <w15:chartTrackingRefBased/>
  <w15:docId w15:val="{880D74F0-33AE-47DF-9C9A-306054A28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22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22E8"/>
  </w:style>
  <w:style w:type="paragraph" w:styleId="Footer">
    <w:name w:val="footer"/>
    <w:basedOn w:val="Normal"/>
    <w:link w:val="FooterChar"/>
    <w:uiPriority w:val="99"/>
    <w:unhideWhenUsed/>
    <w:rsid w:val="004022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22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462</Words>
  <Characters>2639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2021-09-29T21:33:00Z</dcterms:created>
  <dcterms:modified xsi:type="dcterms:W3CDTF">2021-09-29T21:33:00Z</dcterms:modified>
</cp:coreProperties>
</file>