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374A9128" w:rsidR="00582D4C" w:rsidRPr="001D0818" w:rsidRDefault="00854651"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Auditing and the Sarbanes-Oxley Act</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935BB28" w14:textId="7D59D4EE" w:rsidR="00854651" w:rsidRPr="00854651" w:rsidRDefault="00854651" w:rsidP="00854651">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lastRenderedPageBreak/>
        <w:t xml:space="preserve">Auditing and the Sarbanes-Oxley Act </w:t>
      </w:r>
    </w:p>
    <w:p w14:paraId="5F226F43" w14:textId="1858BD8D" w:rsidR="004A5FA0" w:rsidRDefault="00854651" w:rsidP="004A5FA0">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Beasley </w:t>
      </w:r>
      <w:r w:rsidR="004A5FA0">
        <w:rPr>
          <w:rFonts w:ascii="Times New Roman" w:eastAsia="Times New Roman" w:hAnsi="Times New Roman" w:cs="Times New Roman"/>
          <w:color w:val="333333"/>
          <w:sz w:val="24"/>
          <w:szCs w:val="24"/>
        </w:rPr>
        <w:t xml:space="preserve">et al. </w:t>
      </w:r>
      <w:r>
        <w:rPr>
          <w:rFonts w:ascii="Times New Roman" w:eastAsia="Times New Roman" w:hAnsi="Times New Roman" w:cs="Times New Roman"/>
          <w:color w:val="333333"/>
          <w:sz w:val="24"/>
          <w:szCs w:val="24"/>
        </w:rPr>
        <w:t>(2001)</w:t>
      </w:r>
      <w:r w:rsidR="004A5FA0">
        <w:rPr>
          <w:rFonts w:ascii="Times New Roman" w:eastAsia="Times New Roman" w:hAnsi="Times New Roman" w:cs="Times New Roman"/>
          <w:color w:val="333333"/>
          <w:sz w:val="24"/>
          <w:szCs w:val="24"/>
        </w:rPr>
        <w:t xml:space="preserve"> listed the top 10 audit deficiencies from fraud-related cases listed by the Securities and Exchange (SEC) commission. These deficiencies were from the period of 1987 to 1997. The deficiencies include gathering enough audit evidence, exercising professional care, demonstrating professionalism, following the requirements of Generally Accepted Accounting Principles (GAAP), designing audit programs, and confirming accounts receivable among others (Beasley et al., 2001). The most common problem was indicated to be the failure of auditors to gather sufficient evidence. This was realized in 80% of the cases (Beasley et al., 2001). For example, it was indicated that auditors failed to examine supporting documents. In 71% of the cases, it was indicated that auditors failed to exercise due professional care (Beasley et al., 2001). The other common problems that were identified include failure to apply GAAP, design audit programs, and conform to accounts receivable. </w:t>
      </w:r>
    </w:p>
    <w:p w14:paraId="3186E616" w14:textId="74267442" w:rsidR="003D4D92" w:rsidRDefault="003D4D92" w:rsidP="004A5FA0">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From 2010 to 2020, audit deficiencies have been recorded, which can be compared and contrasted with the above findings from 1987 to 1997, after the implementation of the Sarbanes-Oxley Act. </w:t>
      </w:r>
      <w:r w:rsidR="0089334E">
        <w:rPr>
          <w:rFonts w:ascii="Times New Roman" w:eastAsia="Times New Roman" w:hAnsi="Times New Roman" w:cs="Times New Roman"/>
          <w:color w:val="333333"/>
          <w:sz w:val="24"/>
          <w:szCs w:val="24"/>
        </w:rPr>
        <w:t xml:space="preserve">The Public Company Accounting Oversight Board (PCAOB) (2015) provided a report on audit deficiencies that have been experienced between 2010 and 2015. Audit deficiencies were indicated to be high between 2010 and 2011. From 2010 to 2014, audit deficiencies were identified in the selection of controls to test (Public Company Accounting Oversight Board, 2015). This implies that auditors failed to analyze the flow of transactions. This is the same as the failure to exercise due professional care as indicated in the previous report. </w:t>
      </w:r>
    </w:p>
    <w:p w14:paraId="024704A9" w14:textId="1CF8E344" w:rsidR="0089334E" w:rsidRDefault="0089334E" w:rsidP="004A5FA0">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In another report that indicated audit deficiencies in 2020, it was indicated that there were deficiencies in interpreting and applying GAAP</w:t>
      </w:r>
      <w:r w:rsidR="00CC67BF">
        <w:rPr>
          <w:rFonts w:ascii="Times New Roman" w:eastAsia="Times New Roman" w:hAnsi="Times New Roman" w:cs="Times New Roman"/>
          <w:color w:val="333333"/>
          <w:sz w:val="24"/>
          <w:szCs w:val="24"/>
        </w:rPr>
        <w:t xml:space="preserve"> (67%)</w:t>
      </w:r>
      <w:r>
        <w:rPr>
          <w:rFonts w:ascii="Times New Roman" w:eastAsia="Times New Roman" w:hAnsi="Times New Roman" w:cs="Times New Roman"/>
          <w:color w:val="333333"/>
          <w:sz w:val="24"/>
          <w:szCs w:val="24"/>
        </w:rPr>
        <w:t>, Internal Controls over Financial Reporting (ICFR)</w:t>
      </w:r>
      <w:r w:rsidR="00CC67BF">
        <w:rPr>
          <w:rFonts w:ascii="Times New Roman" w:eastAsia="Times New Roman" w:hAnsi="Times New Roman" w:cs="Times New Roman"/>
          <w:color w:val="333333"/>
          <w:sz w:val="24"/>
          <w:szCs w:val="24"/>
        </w:rPr>
        <w:t xml:space="preserve"> (22%)</w:t>
      </w:r>
      <w:r>
        <w:rPr>
          <w:rFonts w:ascii="Times New Roman" w:eastAsia="Times New Roman" w:hAnsi="Times New Roman" w:cs="Times New Roman"/>
          <w:color w:val="333333"/>
          <w:sz w:val="24"/>
          <w:szCs w:val="24"/>
        </w:rPr>
        <w:t>, and Generally Accepted Auditing Standards (GAAS</w:t>
      </w:r>
      <w:r w:rsidR="00CC67BF">
        <w:rPr>
          <w:rFonts w:ascii="Times New Roman" w:eastAsia="Times New Roman" w:hAnsi="Times New Roman" w:cs="Times New Roman"/>
          <w:color w:val="333333"/>
          <w:sz w:val="24"/>
          <w:szCs w:val="24"/>
        </w:rPr>
        <w:t xml:space="preserve"> (11%)</w:t>
      </w:r>
      <w:r>
        <w:rPr>
          <w:rFonts w:ascii="Times New Roman" w:eastAsia="Times New Roman" w:hAnsi="Times New Roman" w:cs="Times New Roman"/>
          <w:color w:val="333333"/>
          <w:sz w:val="24"/>
          <w:szCs w:val="24"/>
        </w:rPr>
        <w:t xml:space="preserve"> (Prasad &amp; </w:t>
      </w:r>
      <w:r>
        <w:rPr>
          <w:rFonts w:ascii="Times New Roman" w:eastAsia="Times New Roman" w:hAnsi="Times New Roman" w:cs="Times New Roman"/>
          <w:color w:val="333333"/>
          <w:sz w:val="24"/>
          <w:szCs w:val="24"/>
        </w:rPr>
        <w:lastRenderedPageBreak/>
        <w:t xml:space="preserve">Webster, 2010). </w:t>
      </w:r>
      <w:r w:rsidR="00CC67BF">
        <w:rPr>
          <w:rFonts w:ascii="Times New Roman" w:eastAsia="Times New Roman" w:hAnsi="Times New Roman" w:cs="Times New Roman"/>
          <w:color w:val="333333"/>
          <w:sz w:val="24"/>
          <w:szCs w:val="24"/>
        </w:rPr>
        <w:t>When compared to the report on the Journal of Accountancy, audit deficiencies in the period from 2010 to 2020 have mainly resulted from the failure to apply ICFR as opposed to GAAP. From the period of 2010 to 2020, audit deficiencies have also been recorded in testing of design controls, information technology consideration, and top-down risk-based approach (</w:t>
      </w:r>
      <w:r w:rsidR="00CC67BF" w:rsidRPr="00CC67BF">
        <w:rPr>
          <w:rFonts w:ascii="Times New Roman" w:eastAsia="Times New Roman" w:hAnsi="Times New Roman" w:cs="Times New Roman"/>
          <w:color w:val="333333"/>
          <w:sz w:val="24"/>
          <w:szCs w:val="24"/>
        </w:rPr>
        <w:t>Public Company Accounting Oversight Board, 2015</w:t>
      </w:r>
      <w:r w:rsidR="00CC67BF">
        <w:rPr>
          <w:rFonts w:ascii="Times New Roman" w:eastAsia="Times New Roman" w:hAnsi="Times New Roman" w:cs="Times New Roman"/>
          <w:color w:val="333333"/>
          <w:sz w:val="24"/>
          <w:szCs w:val="24"/>
        </w:rPr>
        <w:t xml:space="preserve">). </w:t>
      </w:r>
      <w:r w:rsidR="00F7100E">
        <w:rPr>
          <w:rFonts w:ascii="Times New Roman" w:eastAsia="Times New Roman" w:hAnsi="Times New Roman" w:cs="Times New Roman"/>
          <w:color w:val="333333"/>
          <w:sz w:val="24"/>
          <w:szCs w:val="24"/>
        </w:rPr>
        <w:t xml:space="preserve">There have also been audit deficiencies related to the use of the work of other auditors. </w:t>
      </w:r>
      <w:r w:rsidR="00CC67BF">
        <w:rPr>
          <w:rFonts w:ascii="Times New Roman" w:eastAsia="Times New Roman" w:hAnsi="Times New Roman" w:cs="Times New Roman"/>
          <w:color w:val="333333"/>
          <w:sz w:val="24"/>
          <w:szCs w:val="24"/>
        </w:rPr>
        <w:t xml:space="preserve">These are new audit deficiencies that had not been recorded in the Journal of Accountancy. </w:t>
      </w:r>
      <w:r w:rsidR="00F7100E">
        <w:rPr>
          <w:rFonts w:ascii="Times New Roman" w:eastAsia="Times New Roman" w:hAnsi="Times New Roman" w:cs="Times New Roman"/>
          <w:color w:val="333333"/>
          <w:sz w:val="24"/>
          <w:szCs w:val="24"/>
        </w:rPr>
        <w:t xml:space="preserve">However, there are few audit deficiencies that have persisted. </w:t>
      </w:r>
    </w:p>
    <w:p w14:paraId="1227D3E6" w14:textId="377C8002" w:rsidR="00F7100E" w:rsidRDefault="00F7100E" w:rsidP="00F7100E">
      <w:pPr>
        <w:shd w:val="clear" w:color="auto" w:fill="FFFFFF"/>
        <w:spacing w:after="0" w:line="480" w:lineRule="auto"/>
        <w:jc w:val="center"/>
        <w:outlineLvl w:val="3"/>
        <w:rPr>
          <w:rFonts w:ascii="Times New Roman" w:eastAsia="Times New Roman" w:hAnsi="Times New Roman" w:cs="Times New Roman"/>
          <w:b/>
          <w:color w:val="333333"/>
          <w:sz w:val="24"/>
          <w:szCs w:val="24"/>
        </w:rPr>
      </w:pPr>
      <w:r w:rsidRPr="00F7100E">
        <w:rPr>
          <w:rFonts w:ascii="Times New Roman" w:eastAsia="Times New Roman" w:hAnsi="Times New Roman" w:cs="Times New Roman"/>
          <w:b/>
          <w:color w:val="333333"/>
          <w:sz w:val="24"/>
          <w:szCs w:val="24"/>
        </w:rPr>
        <w:t>Effectiveness of the Sarbanes-Oxley Act</w:t>
      </w:r>
    </w:p>
    <w:p w14:paraId="3E47A465" w14:textId="1EC07327" w:rsidR="00F7100E" w:rsidRDefault="00F7100E" w:rsidP="00F7100E">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b/>
          <w:color w:val="333333"/>
          <w:sz w:val="24"/>
          <w:szCs w:val="24"/>
        </w:rPr>
        <w:tab/>
      </w:r>
      <w:r w:rsidR="00EE2089">
        <w:rPr>
          <w:rFonts w:ascii="Times New Roman" w:eastAsia="Times New Roman" w:hAnsi="Times New Roman" w:cs="Times New Roman"/>
          <w:color w:val="333333"/>
          <w:sz w:val="24"/>
          <w:szCs w:val="24"/>
        </w:rPr>
        <w:t xml:space="preserve">Based on this comparison, I believe that the Sarbanes-Oxley Act made a difference in the way auditors conduct audits. Technological developments have been an effective contribution </w:t>
      </w:r>
      <w:r w:rsidR="0098475B">
        <w:rPr>
          <w:rFonts w:ascii="Times New Roman" w:eastAsia="Times New Roman" w:hAnsi="Times New Roman" w:cs="Times New Roman"/>
          <w:color w:val="333333"/>
          <w:sz w:val="24"/>
          <w:szCs w:val="24"/>
        </w:rPr>
        <w:t xml:space="preserve">to the success of the act. Just as data analytics allow for the tracking of large volumes of information, auditors have increased the use of analytical tools to collect data that enhance the quality and relevance of their audits. This is a reason for the reduction of audit deficiencies over the past years. For example, it has ensured that sufficient audit evidence is gathered. It has also ensured that adequate evidence is collected. The use of technology has also enabled auditors to improve their response to risks. The need for corporate reporting has contributed to the reduction in non-GAAP compliance. Technology has played a critical role in ensuring that all information is made public to evaluate whether they are GAAP compliant. The establishment of PCAOB has also set standards for conducting audits, and has played a critical role in the reduction of deficiencies. For example, it mandates organizations to use specialists in conducting the audit process. Apart from this, it mandates the implementation of quality control systems. </w:t>
      </w:r>
    </w:p>
    <w:p w14:paraId="580E6E4B" w14:textId="77777777" w:rsidR="0098475B" w:rsidRDefault="0098475B" w:rsidP="00F7100E">
      <w:pPr>
        <w:shd w:val="clear" w:color="auto" w:fill="FFFFFF"/>
        <w:spacing w:after="0" w:line="480" w:lineRule="auto"/>
        <w:outlineLvl w:val="3"/>
        <w:rPr>
          <w:rFonts w:ascii="Times New Roman" w:eastAsia="Times New Roman" w:hAnsi="Times New Roman" w:cs="Times New Roman"/>
          <w:color w:val="333333"/>
          <w:sz w:val="24"/>
          <w:szCs w:val="24"/>
        </w:rPr>
      </w:pPr>
    </w:p>
    <w:p w14:paraId="3CAA05E4" w14:textId="2DF7371B" w:rsidR="0098475B" w:rsidRDefault="0098475B" w:rsidP="00074FAC">
      <w:pPr>
        <w:shd w:val="clear" w:color="auto" w:fill="FFFFFF"/>
        <w:spacing w:after="0" w:line="480" w:lineRule="auto"/>
        <w:jc w:val="center"/>
        <w:outlineLvl w:val="3"/>
        <w:rPr>
          <w:rFonts w:ascii="Times New Roman" w:eastAsia="Times New Roman" w:hAnsi="Times New Roman" w:cs="Times New Roman"/>
          <w:b/>
          <w:color w:val="333333"/>
          <w:sz w:val="24"/>
          <w:szCs w:val="24"/>
        </w:rPr>
      </w:pPr>
      <w:r w:rsidRPr="00074FAC">
        <w:rPr>
          <w:rFonts w:ascii="Times New Roman" w:eastAsia="Times New Roman" w:hAnsi="Times New Roman" w:cs="Times New Roman"/>
          <w:b/>
          <w:color w:val="333333"/>
          <w:sz w:val="24"/>
          <w:szCs w:val="24"/>
        </w:rPr>
        <w:lastRenderedPageBreak/>
        <w:t>References</w:t>
      </w:r>
    </w:p>
    <w:p w14:paraId="36794306" w14:textId="5F4423EA" w:rsidR="00074FAC" w:rsidRDefault="009E57B3" w:rsidP="00074FAC">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Beasley, M. S., </w:t>
      </w:r>
      <w:proofErr w:type="spellStart"/>
      <w:r>
        <w:rPr>
          <w:rFonts w:ascii="Times New Roman" w:eastAsia="Times New Roman" w:hAnsi="Times New Roman" w:cs="Times New Roman"/>
          <w:color w:val="333333"/>
          <w:sz w:val="24"/>
          <w:szCs w:val="24"/>
        </w:rPr>
        <w:t>Carcello</w:t>
      </w:r>
      <w:proofErr w:type="spellEnd"/>
      <w:r>
        <w:rPr>
          <w:rFonts w:ascii="Times New Roman" w:eastAsia="Times New Roman" w:hAnsi="Times New Roman" w:cs="Times New Roman"/>
          <w:color w:val="333333"/>
          <w:sz w:val="24"/>
          <w:szCs w:val="24"/>
        </w:rPr>
        <w:t xml:space="preserve">, J. V., &amp; </w:t>
      </w:r>
      <w:proofErr w:type="spellStart"/>
      <w:r>
        <w:rPr>
          <w:rFonts w:ascii="Times New Roman" w:eastAsia="Times New Roman" w:hAnsi="Times New Roman" w:cs="Times New Roman"/>
          <w:color w:val="333333"/>
          <w:sz w:val="24"/>
          <w:szCs w:val="24"/>
        </w:rPr>
        <w:t>Hermanson</w:t>
      </w:r>
      <w:proofErr w:type="spellEnd"/>
      <w:r>
        <w:rPr>
          <w:rFonts w:ascii="Times New Roman" w:eastAsia="Times New Roman" w:hAnsi="Times New Roman" w:cs="Times New Roman"/>
          <w:color w:val="333333"/>
          <w:sz w:val="24"/>
          <w:szCs w:val="24"/>
        </w:rPr>
        <w:t xml:space="preserve">, D. N. (2001). Top 10 audit deficiencies. </w:t>
      </w:r>
    </w:p>
    <w:p w14:paraId="337D0C0D" w14:textId="52AD10B7" w:rsidR="009E57B3" w:rsidRDefault="009E57B3" w:rsidP="00074FAC">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9E57B3">
        <w:rPr>
          <w:rFonts w:ascii="Times New Roman" w:eastAsia="Times New Roman" w:hAnsi="Times New Roman" w:cs="Times New Roman"/>
          <w:i/>
          <w:color w:val="333333"/>
          <w:sz w:val="24"/>
          <w:szCs w:val="24"/>
        </w:rPr>
        <w:t>Journal of Accountancy</w:t>
      </w:r>
      <w:r>
        <w:rPr>
          <w:rFonts w:ascii="Times New Roman" w:eastAsia="Times New Roman" w:hAnsi="Times New Roman" w:cs="Times New Roman"/>
          <w:color w:val="333333"/>
          <w:sz w:val="24"/>
          <w:szCs w:val="24"/>
        </w:rPr>
        <w:t xml:space="preserve">. </w:t>
      </w:r>
      <w:bookmarkStart w:id="0" w:name="_GoBack"/>
      <w:bookmarkEnd w:id="0"/>
    </w:p>
    <w:p w14:paraId="0009E30D" w14:textId="63EA5550" w:rsidR="00074FAC" w:rsidRDefault="00074FAC" w:rsidP="00074FAC">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Prasad, A. L. &amp; Webster, J. C. (2020). What are the trends in PCAOB inspections and the </w:t>
      </w:r>
    </w:p>
    <w:p w14:paraId="2FD7DB0B" w14:textId="3F443A36" w:rsidR="00074FAC" w:rsidRDefault="00074FAC" w:rsidP="00074FAC">
      <w:pPr>
        <w:shd w:val="clear" w:color="auto" w:fill="FFFFFF"/>
        <w:spacing w:after="0" w:line="480" w:lineRule="auto"/>
        <w:ind w:left="720"/>
        <w:outlineLvl w:val="3"/>
        <w:rPr>
          <w:rFonts w:ascii="Times New Roman" w:eastAsia="Times New Roman" w:hAnsi="Times New Roman" w:cs="Times New Roman"/>
          <w:color w:val="333333"/>
          <w:sz w:val="24"/>
          <w:szCs w:val="24"/>
        </w:rPr>
      </w:pPr>
      <w:proofErr w:type="gramStart"/>
      <w:r>
        <w:rPr>
          <w:rFonts w:ascii="Times New Roman" w:eastAsia="Times New Roman" w:hAnsi="Times New Roman" w:cs="Times New Roman"/>
          <w:color w:val="333333"/>
          <w:sz w:val="24"/>
          <w:szCs w:val="24"/>
        </w:rPr>
        <w:t>reported</w:t>
      </w:r>
      <w:proofErr w:type="gramEnd"/>
      <w:r>
        <w:rPr>
          <w:rFonts w:ascii="Times New Roman" w:eastAsia="Times New Roman" w:hAnsi="Times New Roman" w:cs="Times New Roman"/>
          <w:color w:val="333333"/>
          <w:sz w:val="24"/>
          <w:szCs w:val="24"/>
        </w:rPr>
        <w:t xml:space="preserve"> audit deficiencies? </w:t>
      </w:r>
      <w:r w:rsidRPr="00074FAC">
        <w:rPr>
          <w:rFonts w:ascii="Times New Roman" w:eastAsia="Times New Roman" w:hAnsi="Times New Roman" w:cs="Times New Roman"/>
          <w:i/>
          <w:color w:val="333333"/>
          <w:sz w:val="24"/>
          <w:szCs w:val="24"/>
        </w:rPr>
        <w:t>Journal of Accounting, Auditing, and Finance</w:t>
      </w:r>
      <w:r>
        <w:rPr>
          <w:rFonts w:ascii="Times New Roman" w:eastAsia="Times New Roman" w:hAnsi="Times New Roman" w:cs="Times New Roman"/>
          <w:color w:val="333333"/>
          <w:sz w:val="24"/>
          <w:szCs w:val="24"/>
        </w:rPr>
        <w:t>.</w:t>
      </w:r>
      <w:r w:rsidRPr="00074FAC">
        <w:t xml:space="preserve"> </w:t>
      </w:r>
      <w:r w:rsidRPr="00074FAC">
        <w:rPr>
          <w:rFonts w:ascii="Times New Roman" w:eastAsia="Times New Roman" w:hAnsi="Times New Roman" w:cs="Times New Roman"/>
          <w:color w:val="333333"/>
          <w:sz w:val="24"/>
          <w:szCs w:val="24"/>
        </w:rPr>
        <w:t>https://doi.org/10.1177/0148558X20934945</w:t>
      </w:r>
    </w:p>
    <w:p w14:paraId="3779F359" w14:textId="0B9C1665" w:rsidR="00074FAC" w:rsidRDefault="00074FAC" w:rsidP="00074FAC">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Public Company Accounting Oversight Board (2015). O</w:t>
      </w:r>
      <w:r w:rsidRPr="00074FAC">
        <w:rPr>
          <w:rFonts w:ascii="Times New Roman" w:eastAsia="Times New Roman" w:hAnsi="Times New Roman" w:cs="Times New Roman"/>
          <w:color w:val="333333"/>
          <w:sz w:val="24"/>
          <w:szCs w:val="24"/>
        </w:rPr>
        <w:t xml:space="preserve">bservations from 2010 inspections of </w:t>
      </w:r>
    </w:p>
    <w:p w14:paraId="2F3D2502" w14:textId="57C18788" w:rsidR="00074FAC" w:rsidRPr="00074FAC" w:rsidRDefault="00074FAC" w:rsidP="00074FAC">
      <w:pPr>
        <w:shd w:val="clear" w:color="auto" w:fill="FFFFFF"/>
        <w:spacing w:after="0" w:line="480" w:lineRule="auto"/>
        <w:ind w:left="720"/>
        <w:outlineLvl w:val="3"/>
        <w:rPr>
          <w:rFonts w:ascii="Times New Roman" w:eastAsia="Times New Roman" w:hAnsi="Times New Roman" w:cs="Times New Roman"/>
          <w:color w:val="333333"/>
          <w:sz w:val="24"/>
          <w:szCs w:val="24"/>
        </w:rPr>
      </w:pPr>
      <w:proofErr w:type="gramStart"/>
      <w:r w:rsidRPr="00074FAC">
        <w:rPr>
          <w:rFonts w:ascii="Times New Roman" w:eastAsia="Times New Roman" w:hAnsi="Times New Roman" w:cs="Times New Roman"/>
          <w:color w:val="333333"/>
          <w:sz w:val="24"/>
          <w:szCs w:val="24"/>
        </w:rPr>
        <w:t>domestic</w:t>
      </w:r>
      <w:proofErr w:type="gramEnd"/>
      <w:r w:rsidRPr="00074FAC">
        <w:rPr>
          <w:rFonts w:ascii="Times New Roman" w:eastAsia="Times New Roman" w:hAnsi="Times New Roman" w:cs="Times New Roman"/>
          <w:color w:val="333333"/>
          <w:sz w:val="24"/>
          <w:szCs w:val="24"/>
        </w:rPr>
        <w:t xml:space="preserve"> annually</w:t>
      </w:r>
      <w:r>
        <w:rPr>
          <w:rFonts w:ascii="Times New Roman" w:eastAsia="Times New Roman" w:hAnsi="Times New Roman" w:cs="Times New Roman"/>
          <w:color w:val="333333"/>
          <w:sz w:val="24"/>
          <w:szCs w:val="24"/>
        </w:rPr>
        <w:t xml:space="preserve"> </w:t>
      </w:r>
      <w:r w:rsidRPr="00074FAC">
        <w:rPr>
          <w:rFonts w:ascii="Times New Roman" w:eastAsia="Times New Roman" w:hAnsi="Times New Roman" w:cs="Times New Roman"/>
          <w:color w:val="333333"/>
          <w:sz w:val="24"/>
          <w:szCs w:val="24"/>
        </w:rPr>
        <w:t>inspected firms regarding deficiencies in audits of internal</w:t>
      </w:r>
      <w:r>
        <w:rPr>
          <w:rFonts w:ascii="Times New Roman" w:eastAsia="Times New Roman" w:hAnsi="Times New Roman" w:cs="Times New Roman"/>
          <w:color w:val="333333"/>
          <w:sz w:val="24"/>
          <w:szCs w:val="24"/>
        </w:rPr>
        <w:t xml:space="preserve"> </w:t>
      </w:r>
      <w:r w:rsidRPr="00074FAC">
        <w:rPr>
          <w:rFonts w:ascii="Times New Roman" w:eastAsia="Times New Roman" w:hAnsi="Times New Roman" w:cs="Times New Roman"/>
          <w:color w:val="333333"/>
          <w:sz w:val="24"/>
          <w:szCs w:val="24"/>
        </w:rPr>
        <w:t>control over financial reporting</w:t>
      </w:r>
      <w:r>
        <w:rPr>
          <w:rFonts w:ascii="Times New Roman" w:eastAsia="Times New Roman" w:hAnsi="Times New Roman" w:cs="Times New Roman"/>
          <w:color w:val="333333"/>
          <w:sz w:val="24"/>
          <w:szCs w:val="24"/>
        </w:rPr>
        <w:t xml:space="preserve">. </w:t>
      </w:r>
      <w:r w:rsidRPr="00074FAC">
        <w:rPr>
          <w:rFonts w:ascii="Times New Roman" w:eastAsia="Times New Roman" w:hAnsi="Times New Roman" w:cs="Times New Roman"/>
          <w:color w:val="333333"/>
          <w:sz w:val="24"/>
          <w:szCs w:val="24"/>
        </w:rPr>
        <w:t>https://pcaobus.org/Inspections/Documents/12102012_Release_2012_06.pdf</w:t>
      </w:r>
    </w:p>
    <w:p w14:paraId="7E13E16D" w14:textId="5BBC1067" w:rsidR="00074FAC" w:rsidRPr="00074FAC" w:rsidRDefault="00074FAC" w:rsidP="00074FAC">
      <w:pPr>
        <w:shd w:val="clear" w:color="auto" w:fill="FFFFFF"/>
        <w:spacing w:after="0" w:line="480" w:lineRule="auto"/>
        <w:outlineLvl w:val="3"/>
        <w:rPr>
          <w:rFonts w:ascii="Times New Roman" w:eastAsia="Times New Roman" w:hAnsi="Times New Roman" w:cs="Times New Roman"/>
          <w:color w:val="333333"/>
          <w:sz w:val="24"/>
          <w:szCs w:val="24"/>
        </w:rPr>
      </w:pPr>
    </w:p>
    <w:p w14:paraId="2106ACEA" w14:textId="68567E3C" w:rsidR="00854651" w:rsidRPr="009122F2" w:rsidRDefault="00826EED" w:rsidP="00854651">
      <w:pPr>
        <w:shd w:val="clear" w:color="auto" w:fill="FFFFFF"/>
        <w:spacing w:after="0" w:line="480" w:lineRule="auto"/>
        <w:outlineLvl w:val="3"/>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333333"/>
          <w:sz w:val="24"/>
          <w:szCs w:val="24"/>
        </w:rPr>
        <w:tab/>
      </w:r>
    </w:p>
    <w:p w14:paraId="7A42E229" w14:textId="5EC2430B" w:rsidR="009122F2" w:rsidRPr="009122F2" w:rsidRDefault="009122F2" w:rsidP="009122F2">
      <w:pPr>
        <w:shd w:val="clear" w:color="auto" w:fill="FFFFFF"/>
        <w:spacing w:after="0" w:line="480" w:lineRule="auto"/>
        <w:outlineLvl w:val="3"/>
        <w:rPr>
          <w:rFonts w:ascii="Times New Roman" w:eastAsia="Times New Roman" w:hAnsi="Times New Roman" w:cs="Times New Roman"/>
          <w:b/>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p>
    <w:sectPr w:rsidR="009122F2" w:rsidRPr="009122F2"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89FC2" w14:textId="77777777" w:rsidR="003F7DB1" w:rsidRDefault="003F7DB1">
      <w:pPr>
        <w:spacing w:after="0" w:line="240" w:lineRule="auto"/>
      </w:pPr>
      <w:r>
        <w:separator/>
      </w:r>
    </w:p>
  </w:endnote>
  <w:endnote w:type="continuationSeparator" w:id="0">
    <w:p w14:paraId="637884FE" w14:textId="77777777" w:rsidR="003F7DB1" w:rsidRDefault="003F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01D84" w14:textId="77777777" w:rsidR="003F7DB1" w:rsidRDefault="003F7DB1">
      <w:pPr>
        <w:spacing w:after="0" w:line="240" w:lineRule="auto"/>
      </w:pPr>
      <w:r>
        <w:separator/>
      </w:r>
    </w:p>
  </w:footnote>
  <w:footnote w:type="continuationSeparator" w:id="0">
    <w:p w14:paraId="27452E7F" w14:textId="77777777" w:rsidR="003F7DB1" w:rsidRDefault="003F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9E57B3">
          <w:rPr>
            <w:rFonts w:ascii="Times New Roman" w:hAnsi="Times New Roman" w:cs="Times New Roman"/>
            <w:noProof/>
            <w:sz w:val="24"/>
            <w:szCs w:val="24"/>
          </w:rPr>
          <w:t>4</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98475B">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09E7265"/>
    <w:multiLevelType w:val="hybridMultilevel"/>
    <w:tmpl w:val="C002B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3"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74FAC"/>
    <w:rsid w:val="00081D1E"/>
    <w:rsid w:val="00087140"/>
    <w:rsid w:val="00090C33"/>
    <w:rsid w:val="00093ED1"/>
    <w:rsid w:val="00094CE4"/>
    <w:rsid w:val="000A3637"/>
    <w:rsid w:val="000B57BE"/>
    <w:rsid w:val="000C3550"/>
    <w:rsid w:val="000C7E7A"/>
    <w:rsid w:val="000D565F"/>
    <w:rsid w:val="000E36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24D"/>
    <w:rsid w:val="00165DD8"/>
    <w:rsid w:val="0017531A"/>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2F67"/>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D4D92"/>
    <w:rsid w:val="003E07E5"/>
    <w:rsid w:val="003F077D"/>
    <w:rsid w:val="003F1C8B"/>
    <w:rsid w:val="003F1F3A"/>
    <w:rsid w:val="003F3AFA"/>
    <w:rsid w:val="003F60F1"/>
    <w:rsid w:val="003F695E"/>
    <w:rsid w:val="003F7DB1"/>
    <w:rsid w:val="00400B2E"/>
    <w:rsid w:val="0040126F"/>
    <w:rsid w:val="00406BCC"/>
    <w:rsid w:val="004248B3"/>
    <w:rsid w:val="00426D5E"/>
    <w:rsid w:val="00437142"/>
    <w:rsid w:val="004427A3"/>
    <w:rsid w:val="004431E2"/>
    <w:rsid w:val="00444921"/>
    <w:rsid w:val="0045217E"/>
    <w:rsid w:val="004647ED"/>
    <w:rsid w:val="0046584E"/>
    <w:rsid w:val="0048005D"/>
    <w:rsid w:val="004826E0"/>
    <w:rsid w:val="004854B4"/>
    <w:rsid w:val="00490AB7"/>
    <w:rsid w:val="004A0B82"/>
    <w:rsid w:val="004A1DBA"/>
    <w:rsid w:val="004A5FA0"/>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14328"/>
    <w:rsid w:val="00522741"/>
    <w:rsid w:val="00527BCF"/>
    <w:rsid w:val="005318DA"/>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26EED"/>
    <w:rsid w:val="0084432B"/>
    <w:rsid w:val="0084521F"/>
    <w:rsid w:val="00845997"/>
    <w:rsid w:val="00845E30"/>
    <w:rsid w:val="00853CFA"/>
    <w:rsid w:val="00854651"/>
    <w:rsid w:val="0087045D"/>
    <w:rsid w:val="00870DB0"/>
    <w:rsid w:val="00877B2D"/>
    <w:rsid w:val="00884AA9"/>
    <w:rsid w:val="00890EEB"/>
    <w:rsid w:val="0089334E"/>
    <w:rsid w:val="008970F0"/>
    <w:rsid w:val="008B0F7F"/>
    <w:rsid w:val="008B373A"/>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475B"/>
    <w:rsid w:val="0098799F"/>
    <w:rsid w:val="009A21E6"/>
    <w:rsid w:val="009A2307"/>
    <w:rsid w:val="009A3F28"/>
    <w:rsid w:val="009A40E4"/>
    <w:rsid w:val="009A771D"/>
    <w:rsid w:val="009C6C39"/>
    <w:rsid w:val="009C78F6"/>
    <w:rsid w:val="009D3E9F"/>
    <w:rsid w:val="009D4AE6"/>
    <w:rsid w:val="009D651D"/>
    <w:rsid w:val="009E57B3"/>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67BF"/>
    <w:rsid w:val="00CC7CB7"/>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08F5"/>
    <w:rsid w:val="00DC15AF"/>
    <w:rsid w:val="00DC2F8A"/>
    <w:rsid w:val="00DC6919"/>
    <w:rsid w:val="00DC6B17"/>
    <w:rsid w:val="00DD0CE8"/>
    <w:rsid w:val="00DE0201"/>
    <w:rsid w:val="00DE1D94"/>
    <w:rsid w:val="00DF76E4"/>
    <w:rsid w:val="00E14F2F"/>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E2089"/>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100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2021-10-14T11:01:00Z</dcterms:created>
  <dcterms:modified xsi:type="dcterms:W3CDTF">2021-10-14T11:01:00Z</dcterms:modified>
</cp:coreProperties>
</file>