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6D50" w:rsidRDefault="00636D50" w:rsidP="00636D50">
      <w:pPr>
        <w:jc w:val="center"/>
      </w:pPr>
    </w:p>
    <w:p w:rsidR="00636D50" w:rsidRDefault="00636D50" w:rsidP="00636D50">
      <w:pPr>
        <w:jc w:val="center"/>
      </w:pPr>
    </w:p>
    <w:p w:rsidR="00636D50" w:rsidRDefault="00636D50" w:rsidP="00636D50">
      <w:pPr>
        <w:jc w:val="center"/>
      </w:pPr>
    </w:p>
    <w:p w:rsidR="00636D50" w:rsidRDefault="00636D50" w:rsidP="00636D50">
      <w:pPr>
        <w:jc w:val="center"/>
      </w:pPr>
    </w:p>
    <w:p w:rsidR="00636D50" w:rsidRDefault="00636D50" w:rsidP="00636D50">
      <w:pPr>
        <w:jc w:val="center"/>
      </w:pPr>
    </w:p>
    <w:p w:rsidR="00636D50" w:rsidRDefault="00636D50" w:rsidP="00636D50">
      <w:pPr>
        <w:jc w:val="center"/>
      </w:pPr>
    </w:p>
    <w:p w:rsidR="00636D50" w:rsidRDefault="00636D50" w:rsidP="00636D50">
      <w:pPr>
        <w:jc w:val="center"/>
      </w:pPr>
    </w:p>
    <w:p w:rsidR="002118C7" w:rsidRDefault="00636D50" w:rsidP="00636D50">
      <w:pPr>
        <w:jc w:val="center"/>
      </w:pPr>
      <w:r>
        <w:t>Performance Contracting</w:t>
      </w:r>
    </w:p>
    <w:p w:rsidR="00636D50" w:rsidRDefault="00636D50" w:rsidP="00636D50">
      <w:pPr>
        <w:jc w:val="center"/>
      </w:pPr>
      <w:r>
        <w:t>Student’s Name</w:t>
      </w:r>
    </w:p>
    <w:p w:rsidR="00636D50" w:rsidRDefault="00636D50" w:rsidP="00636D50">
      <w:pPr>
        <w:jc w:val="center"/>
      </w:pPr>
      <w:r>
        <w:t>Institution</w:t>
      </w:r>
    </w:p>
    <w:p w:rsidR="00636D50" w:rsidRDefault="00636D50" w:rsidP="00636D50">
      <w:pPr>
        <w:jc w:val="center"/>
      </w:pPr>
      <w:r>
        <w:t>Date</w:t>
      </w:r>
    </w:p>
    <w:p w:rsidR="00636D50" w:rsidRDefault="00636D50">
      <w:pPr>
        <w:spacing w:after="160" w:line="259" w:lineRule="auto"/>
      </w:pPr>
      <w:r>
        <w:br w:type="page"/>
      </w:r>
    </w:p>
    <w:p w:rsidR="00636D50" w:rsidRDefault="00636D50" w:rsidP="00636D50">
      <w:pPr>
        <w:jc w:val="center"/>
      </w:pPr>
      <w:r>
        <w:lastRenderedPageBreak/>
        <w:t>Performance Contracting</w:t>
      </w:r>
    </w:p>
    <w:p w:rsidR="00636D50" w:rsidRDefault="00636D50" w:rsidP="00EE1906">
      <w:pPr>
        <w:jc w:val="center"/>
      </w:pPr>
      <w:r>
        <w:t>Introduction</w:t>
      </w:r>
    </w:p>
    <w:p w:rsidR="00767D25" w:rsidRDefault="00767D25" w:rsidP="00767D25">
      <w:r>
        <w:t xml:space="preserve"> </w:t>
      </w:r>
      <w:r>
        <w:tab/>
        <w:t>Performance contracting refers to the process that pursues the enhancement of various activities' performance according to the agreed-upon terms and stipulated performance standards involving two or more parties. The use of performance measurement systems within the public sector affects organizational performance. The effects of the performance measurement systems are dependent on contractibility. The term contractibility encapsulates clarity of goals, the capability to choose factual performance metrics, along with the degree to which managers understand and control the process of transformation. Thus, organizations that utilize their performance measurement systems to suit their activities' attributes outdo organizations that fail to attain such a match. The paper elaborately examines how performance measurement goals alignment might affect employees’ outcomes – effort, innovation, and productivity.</w:t>
      </w:r>
    </w:p>
    <w:p w:rsidR="00767D25" w:rsidRDefault="00767D25" w:rsidP="00FB7C85">
      <w:pPr>
        <w:ind w:firstLine="720"/>
      </w:pPr>
      <w:r>
        <w:t>The exploratory use of a performance measurement system bolsters performance which is autonomous of the level of contractibility. Consequently, the effectiveness of the introduction of performance measurement systems within public sector institutions is influenced by contractibility as well as the use of the system by the management. For organizations to better affect employee outcomes, they have to align the performance measurement goals properly</w:t>
      </w:r>
      <w:r w:rsidR="00FB7C85">
        <w:t xml:space="preserve"> (</w:t>
      </w:r>
      <w:proofErr w:type="spellStart"/>
      <w:r w:rsidR="00FB7C85">
        <w:t>Spekle</w:t>
      </w:r>
      <w:proofErr w:type="spellEnd"/>
      <w:r w:rsidR="00FB7C85">
        <w:t xml:space="preserve">, &amp; </w:t>
      </w:r>
      <w:proofErr w:type="spellStart"/>
      <w:r w:rsidR="00FB7C85">
        <w:t>Verbeeten</w:t>
      </w:r>
      <w:proofErr w:type="spellEnd"/>
      <w:r w:rsidR="00FB7C85">
        <w:t>, 2014)</w:t>
      </w:r>
      <w:r>
        <w:t xml:space="preserve">.  In public sector organizations, performance measurement goals alignment plays a significant role in affecting employees' outcomes like effort, innovation, and productivity. Employees are important individuals within the organization. They facilitate the performance of various </w:t>
      </w:r>
      <w:r>
        <w:lastRenderedPageBreak/>
        <w:t>activities that ensure an organization is successful in the corporate world. Firstly, organizations that have properly defined their goals and made them known to employees incur significant benefits. Employees working in an organization that sets up its goals and objectives inspire them to diligently perform their responsibilities to go above and beyond the expectations. In this essence, high contractibility is reflected in improved service delivery and bolstered performance among employees.</w:t>
      </w:r>
    </w:p>
    <w:p w:rsidR="00767D25" w:rsidRDefault="00767D25" w:rsidP="00767D25">
      <w:pPr>
        <w:ind w:firstLine="720"/>
      </w:pPr>
      <w:r>
        <w:t>Also, organizations that acknowledge and revere the need to offer support for employees’ innovation through training reaps unfathomable benefits in their performance (</w:t>
      </w:r>
      <w:proofErr w:type="spellStart"/>
      <w:r>
        <w:t>Demircioglu</w:t>
      </w:r>
      <w:proofErr w:type="spellEnd"/>
      <w:r>
        <w:t xml:space="preserve">, &amp; </w:t>
      </w:r>
      <w:proofErr w:type="spellStart"/>
      <w:r>
        <w:t>Audretsch</w:t>
      </w:r>
      <w:proofErr w:type="spellEnd"/>
      <w:r>
        <w:t>, 2017). The contemporary world has been characterized by the increased advancement of ideologies and techniques essential to spur performance in institutions. For instance, the knowledge and skills of performing certain processes and procedures are insourced or outsourced</w:t>
      </w:r>
      <w:r w:rsidR="00E25685">
        <w:t xml:space="preserve"> to ensure that some operations are done efficiently</w:t>
      </w:r>
      <w:r>
        <w:t>. Thus when an organization has opted to offer training to its employees, they acquire new skills and concepts that significantly bolster operations. Training of employees regarding new techniques to be integrated within an organization helps them have profound knowledge and skillset to handle newer tasks to be introduced.  Consequently, employees' training helps them become innovative and creative, inspiring them to perform operations befitting the required standards of performance aptly.</w:t>
      </w:r>
    </w:p>
    <w:p w:rsidR="00767D25" w:rsidRDefault="00767D25" w:rsidP="00767D25">
      <w:pPr>
        <w:ind w:firstLine="720"/>
      </w:pPr>
      <w:r>
        <w:t xml:space="preserve">Besides, the goal of monitoring performance and providing feedback has an astounding impact on employees’ outcomes. Organizations that have set up a measurement system regarding the performance standards can distinguishably identify employees' strengths and weaknesses. This is because the measurement system </w:t>
      </w:r>
      <w:r>
        <w:lastRenderedPageBreak/>
        <w:t xml:space="preserve">comprehensively provides a way of checking progress on an objective. Hence an organization can propose various meaningful solutions such as continual coaching and mentoring employees on better ways of improving their performance standards (Van der </w:t>
      </w:r>
      <w:proofErr w:type="spellStart"/>
      <w:r>
        <w:t>Kolk</w:t>
      </w:r>
      <w:proofErr w:type="spellEnd"/>
      <w:r>
        <w:t xml:space="preserve">, Van Veen-Dirks, &amp; </w:t>
      </w:r>
      <w:proofErr w:type="spellStart"/>
      <w:r>
        <w:t>Ter</w:t>
      </w:r>
      <w:proofErr w:type="spellEnd"/>
      <w:r>
        <w:t xml:space="preserve"> </w:t>
      </w:r>
      <w:proofErr w:type="spellStart"/>
      <w:r>
        <w:t>Bogt</w:t>
      </w:r>
      <w:proofErr w:type="spellEnd"/>
      <w:r>
        <w:t>, 2019). Some examples include organizing benchmarking sessions and acquiring skilled experts to guide employees on the best operations procedures.</w:t>
      </w:r>
    </w:p>
    <w:p w:rsidR="00767D25" w:rsidRDefault="00767D25" w:rsidP="00767D25">
      <w:pPr>
        <w:ind w:firstLine="720"/>
      </w:pPr>
      <w:r>
        <w:t xml:space="preserve">Moreover, when an organization can identify problems and diagnose them on time, employees are more motivated to be part of the team. Institutions are faced with different problems ranging from untimely completion of responsibilities and lack of unskilled expertise to handle certain operations. These issues can be resolved and mitigated within an organization by properly examining trends that help identify the problems that may compromise performance (Nielsen, </w:t>
      </w:r>
      <w:proofErr w:type="spellStart"/>
      <w:r>
        <w:t>Kristensen</w:t>
      </w:r>
      <w:proofErr w:type="spellEnd"/>
      <w:r>
        <w:t>, &amp; Grasso, 2018). In this essence, employees within the organization become inspired in championing activities that seek to avert the problems from becoming crises. In this regard, the organization's productivity is improved since employees are more focused and motivated to ensure that the organization's operations and processes are appropriately administered.</w:t>
      </w:r>
    </w:p>
    <w:p w:rsidR="00767D25" w:rsidRDefault="00767D25" w:rsidP="00767D25">
      <w:pPr>
        <w:ind w:firstLine="720"/>
      </w:pPr>
      <w:r>
        <w:t xml:space="preserve">Organizations that have properly facilitated planning and control of their processes such as resource usage, product scheduling, contracting, and delivery schedules have an astronomical effect on their employee outcomes. Typically, when an organization has well-organized procedures exhibited through appropriate facilitation of processes, employees are bound to maintain the expected performance standards </w:t>
      </w:r>
      <w:r>
        <w:lastRenderedPageBreak/>
        <w:t>(</w:t>
      </w:r>
      <w:proofErr w:type="spellStart"/>
      <w:r>
        <w:t>Torugsa</w:t>
      </w:r>
      <w:proofErr w:type="spellEnd"/>
      <w:r>
        <w:t>, &amp; Arundel, 2016). Therefore, they become more innovative to ensure that the organization becomes more successful in delivering quality products and services.</w:t>
      </w:r>
    </w:p>
    <w:p w:rsidR="00767D25" w:rsidRDefault="00767D25" w:rsidP="00767D25">
      <w:r>
        <w:t>Conclusion</w:t>
      </w:r>
    </w:p>
    <w:p w:rsidR="00C50E88" w:rsidRDefault="00767D25" w:rsidP="00767D25">
      <w:r>
        <w:t xml:space="preserve">           The study provides meticulous evidence regarding the effects of performance measurement systems in public sector institutions. From the functioning of the public sector organizations, fundamental insights can be derived. Foremost, there is a positive link between contractibility and performance. When contractibility is high, the level of performance is improved. For instance, organizations that have set clear and measurable goals accomplish high-performance effects. From the study, it is recognizable that high contractibility has a substantial impact on employee outcomes. Organizations that have set up clear goals inspire employees to become more innovative and ensure that their operations are accomplished. The study analyzed operational use that encapsulated the utilization of performance metrics such as input measures, process measures, quality measures, and output measures to plan operations.</w:t>
      </w:r>
    </w:p>
    <w:p w:rsidR="00C50E88" w:rsidRDefault="00C50E88" w:rsidP="00C50E88">
      <w:pPr>
        <w:jc w:val="center"/>
      </w:pPr>
    </w:p>
    <w:p w:rsidR="00C50E88" w:rsidRDefault="00C50E88" w:rsidP="00C50E88">
      <w:pPr>
        <w:jc w:val="center"/>
      </w:pPr>
    </w:p>
    <w:p w:rsidR="00C50E88" w:rsidRDefault="00C50E88" w:rsidP="00C50E88">
      <w:pPr>
        <w:jc w:val="center"/>
      </w:pPr>
    </w:p>
    <w:p w:rsidR="00C50E88" w:rsidRDefault="00C50E88" w:rsidP="00C50E88">
      <w:pPr>
        <w:jc w:val="center"/>
      </w:pPr>
    </w:p>
    <w:p w:rsidR="00C50E88" w:rsidRDefault="00C50E88" w:rsidP="00C50E88">
      <w:pPr>
        <w:jc w:val="center"/>
      </w:pPr>
    </w:p>
    <w:p w:rsidR="00C50E88" w:rsidRDefault="00C50E88" w:rsidP="00C50E88">
      <w:pPr>
        <w:jc w:val="center"/>
      </w:pPr>
    </w:p>
    <w:p w:rsidR="00C50E88" w:rsidRDefault="00C50E88" w:rsidP="00C50E88">
      <w:pPr>
        <w:jc w:val="center"/>
      </w:pPr>
    </w:p>
    <w:p w:rsidR="00C50E88" w:rsidRDefault="00C50E88" w:rsidP="00C50E88">
      <w:pPr>
        <w:jc w:val="center"/>
      </w:pPr>
    </w:p>
    <w:p w:rsidR="00C50E88" w:rsidRDefault="00C50E88" w:rsidP="00C50E88">
      <w:pPr>
        <w:jc w:val="center"/>
      </w:pPr>
    </w:p>
    <w:p w:rsidR="003B08E6" w:rsidRDefault="003B08E6" w:rsidP="00C50E88">
      <w:pPr>
        <w:jc w:val="center"/>
      </w:pPr>
    </w:p>
    <w:p w:rsidR="003B08E6" w:rsidRDefault="003B08E6" w:rsidP="00C50E88">
      <w:pPr>
        <w:jc w:val="center"/>
      </w:pPr>
    </w:p>
    <w:p w:rsidR="00C50E88" w:rsidRDefault="00420127" w:rsidP="00C50E88">
      <w:pPr>
        <w:jc w:val="center"/>
      </w:pPr>
      <w:r>
        <w:t>References</w:t>
      </w:r>
    </w:p>
    <w:p w:rsidR="00C50E88" w:rsidRDefault="00C50E88" w:rsidP="00C50E88">
      <w:pPr>
        <w:spacing w:after="0"/>
        <w:ind w:left="720" w:hanging="720"/>
        <w:rPr>
          <w:rFonts w:eastAsia="Times New Roman" w:cs="Times New Roman"/>
          <w:szCs w:val="24"/>
        </w:rPr>
      </w:pPr>
      <w:proofErr w:type="spellStart"/>
      <w:r w:rsidRPr="00F144AC">
        <w:rPr>
          <w:rFonts w:eastAsia="Times New Roman" w:cs="Times New Roman"/>
          <w:szCs w:val="24"/>
        </w:rPr>
        <w:t>Demircioglu</w:t>
      </w:r>
      <w:proofErr w:type="spellEnd"/>
      <w:r w:rsidRPr="00F144AC">
        <w:rPr>
          <w:rFonts w:eastAsia="Times New Roman" w:cs="Times New Roman"/>
          <w:szCs w:val="24"/>
        </w:rPr>
        <w:t xml:space="preserve">, M. A., &amp; </w:t>
      </w:r>
      <w:proofErr w:type="spellStart"/>
      <w:r w:rsidRPr="00F144AC">
        <w:rPr>
          <w:rFonts w:eastAsia="Times New Roman" w:cs="Times New Roman"/>
          <w:szCs w:val="24"/>
        </w:rPr>
        <w:t>Audretsch</w:t>
      </w:r>
      <w:proofErr w:type="spellEnd"/>
      <w:r w:rsidRPr="00F144AC">
        <w:rPr>
          <w:rFonts w:eastAsia="Times New Roman" w:cs="Times New Roman"/>
          <w:szCs w:val="24"/>
        </w:rPr>
        <w:t xml:space="preserve">, D. B. (2017). Conditions for innovation in public sector organizations. </w:t>
      </w:r>
      <w:r w:rsidRPr="00F144AC">
        <w:rPr>
          <w:rFonts w:eastAsia="Times New Roman" w:cs="Times New Roman"/>
          <w:i/>
          <w:iCs/>
          <w:szCs w:val="24"/>
        </w:rPr>
        <w:t>Research policy</w:t>
      </w:r>
      <w:r w:rsidRPr="00F144AC">
        <w:rPr>
          <w:rFonts w:eastAsia="Times New Roman" w:cs="Times New Roman"/>
          <w:szCs w:val="24"/>
        </w:rPr>
        <w:t xml:space="preserve">, </w:t>
      </w:r>
      <w:r w:rsidRPr="00F144AC">
        <w:rPr>
          <w:rFonts w:eastAsia="Times New Roman" w:cs="Times New Roman"/>
          <w:i/>
          <w:iCs/>
          <w:szCs w:val="24"/>
        </w:rPr>
        <w:t>46</w:t>
      </w:r>
      <w:r w:rsidRPr="00F144AC">
        <w:rPr>
          <w:rFonts w:eastAsia="Times New Roman" w:cs="Times New Roman"/>
          <w:szCs w:val="24"/>
        </w:rPr>
        <w:t>(9), 1681-1691.</w:t>
      </w:r>
    </w:p>
    <w:p w:rsidR="00C50E88" w:rsidRPr="00F144AC" w:rsidRDefault="00C50E88" w:rsidP="00C50E88">
      <w:pPr>
        <w:spacing w:after="0"/>
        <w:ind w:left="720" w:hanging="720"/>
        <w:rPr>
          <w:rFonts w:eastAsia="Times New Roman" w:cs="Times New Roman"/>
          <w:szCs w:val="24"/>
        </w:rPr>
      </w:pPr>
      <w:r w:rsidRPr="00F144AC">
        <w:rPr>
          <w:rFonts w:eastAsia="Times New Roman" w:cs="Times New Roman"/>
          <w:szCs w:val="24"/>
        </w:rPr>
        <w:t xml:space="preserve">Nielsen, H., </w:t>
      </w:r>
      <w:proofErr w:type="spellStart"/>
      <w:r w:rsidRPr="00F144AC">
        <w:rPr>
          <w:rFonts w:eastAsia="Times New Roman" w:cs="Times New Roman"/>
          <w:szCs w:val="24"/>
        </w:rPr>
        <w:t>Kristensen</w:t>
      </w:r>
      <w:proofErr w:type="spellEnd"/>
      <w:r w:rsidRPr="00F144AC">
        <w:rPr>
          <w:rFonts w:eastAsia="Times New Roman" w:cs="Times New Roman"/>
          <w:szCs w:val="24"/>
        </w:rPr>
        <w:t xml:space="preserve">, T. B., &amp; Grasso, L. P. (2018). The performance effects of complementary management control mechanisms. </w:t>
      </w:r>
      <w:r w:rsidRPr="00F144AC">
        <w:rPr>
          <w:rFonts w:eastAsia="Times New Roman" w:cs="Times New Roman"/>
          <w:i/>
          <w:iCs/>
          <w:szCs w:val="24"/>
        </w:rPr>
        <w:t>International Journal of Operations &amp; Production Management</w:t>
      </w:r>
      <w:r w:rsidRPr="00F144AC">
        <w:rPr>
          <w:rFonts w:eastAsia="Times New Roman" w:cs="Times New Roman"/>
          <w:szCs w:val="24"/>
        </w:rPr>
        <w:t>.</w:t>
      </w:r>
    </w:p>
    <w:p w:rsidR="00C50E88" w:rsidRDefault="00C50E88" w:rsidP="00C50E88">
      <w:pPr>
        <w:spacing w:after="0"/>
        <w:ind w:left="720" w:hanging="720"/>
        <w:rPr>
          <w:rFonts w:eastAsia="Times New Roman" w:cs="Times New Roman"/>
          <w:szCs w:val="24"/>
        </w:rPr>
      </w:pPr>
      <w:proofErr w:type="spellStart"/>
      <w:r w:rsidRPr="00F144AC">
        <w:rPr>
          <w:rFonts w:eastAsia="Times New Roman" w:cs="Times New Roman"/>
          <w:szCs w:val="24"/>
        </w:rPr>
        <w:t>Spekle</w:t>
      </w:r>
      <w:proofErr w:type="spellEnd"/>
      <w:r w:rsidRPr="00F144AC">
        <w:rPr>
          <w:rFonts w:eastAsia="Times New Roman" w:cs="Times New Roman"/>
          <w:szCs w:val="24"/>
        </w:rPr>
        <w:t xml:space="preserve">, R. F., &amp; </w:t>
      </w:r>
      <w:proofErr w:type="spellStart"/>
      <w:r w:rsidRPr="00F144AC">
        <w:rPr>
          <w:rFonts w:eastAsia="Times New Roman" w:cs="Times New Roman"/>
          <w:szCs w:val="24"/>
        </w:rPr>
        <w:t>Verbeeten</w:t>
      </w:r>
      <w:proofErr w:type="spellEnd"/>
      <w:r w:rsidRPr="00F144AC">
        <w:rPr>
          <w:rFonts w:eastAsia="Times New Roman" w:cs="Times New Roman"/>
          <w:szCs w:val="24"/>
        </w:rPr>
        <w:t xml:space="preserve">, F. H. (2014). The use of performance measurement systems in the public sector: Effects on performance. </w:t>
      </w:r>
      <w:r w:rsidRPr="00F144AC">
        <w:rPr>
          <w:rFonts w:eastAsia="Times New Roman" w:cs="Times New Roman"/>
          <w:i/>
          <w:iCs/>
          <w:szCs w:val="24"/>
        </w:rPr>
        <w:t>Management Accounting Research</w:t>
      </w:r>
      <w:r w:rsidRPr="00F144AC">
        <w:rPr>
          <w:rFonts w:eastAsia="Times New Roman" w:cs="Times New Roman"/>
          <w:szCs w:val="24"/>
        </w:rPr>
        <w:t xml:space="preserve">, </w:t>
      </w:r>
      <w:r w:rsidRPr="00F144AC">
        <w:rPr>
          <w:rFonts w:eastAsia="Times New Roman" w:cs="Times New Roman"/>
          <w:i/>
          <w:iCs/>
          <w:szCs w:val="24"/>
        </w:rPr>
        <w:t>25</w:t>
      </w:r>
      <w:r w:rsidRPr="00F144AC">
        <w:rPr>
          <w:rFonts w:eastAsia="Times New Roman" w:cs="Times New Roman"/>
          <w:szCs w:val="24"/>
        </w:rPr>
        <w:t>(2), 131-146.</w:t>
      </w:r>
    </w:p>
    <w:p w:rsidR="00C50E88" w:rsidRPr="00AC19C0" w:rsidRDefault="00C50E88" w:rsidP="00C50E88">
      <w:pPr>
        <w:spacing w:after="0"/>
        <w:ind w:left="720" w:hanging="720"/>
        <w:rPr>
          <w:rFonts w:eastAsia="Times New Roman" w:cs="Times New Roman"/>
          <w:szCs w:val="24"/>
        </w:rPr>
      </w:pPr>
      <w:proofErr w:type="spellStart"/>
      <w:r w:rsidRPr="00AC19C0">
        <w:rPr>
          <w:rFonts w:eastAsia="Times New Roman" w:cs="Times New Roman"/>
          <w:szCs w:val="24"/>
        </w:rPr>
        <w:t>Torugsa</w:t>
      </w:r>
      <w:proofErr w:type="spellEnd"/>
      <w:r w:rsidRPr="00AC19C0">
        <w:rPr>
          <w:rFonts w:eastAsia="Times New Roman" w:cs="Times New Roman"/>
          <w:szCs w:val="24"/>
        </w:rPr>
        <w:t xml:space="preserve">, N., &amp; Arundel, A. (2016). Complexity of innovation in the public sector: A workgroup-level analysis of related factors and outcomes. </w:t>
      </w:r>
      <w:r w:rsidRPr="00AC19C0">
        <w:rPr>
          <w:rFonts w:eastAsia="Times New Roman" w:cs="Times New Roman"/>
          <w:i/>
          <w:iCs/>
          <w:szCs w:val="24"/>
        </w:rPr>
        <w:t>Public Management Review</w:t>
      </w:r>
      <w:r w:rsidRPr="00AC19C0">
        <w:rPr>
          <w:rFonts w:eastAsia="Times New Roman" w:cs="Times New Roman"/>
          <w:szCs w:val="24"/>
        </w:rPr>
        <w:t xml:space="preserve">, </w:t>
      </w:r>
      <w:r w:rsidRPr="00AC19C0">
        <w:rPr>
          <w:rFonts w:eastAsia="Times New Roman" w:cs="Times New Roman"/>
          <w:i/>
          <w:iCs/>
          <w:szCs w:val="24"/>
        </w:rPr>
        <w:t>18</w:t>
      </w:r>
      <w:r w:rsidRPr="00AC19C0">
        <w:rPr>
          <w:rFonts w:eastAsia="Times New Roman" w:cs="Times New Roman"/>
          <w:szCs w:val="24"/>
        </w:rPr>
        <w:t>(3), 392-416.</w:t>
      </w:r>
    </w:p>
    <w:p w:rsidR="00C50E88" w:rsidRPr="008815FE" w:rsidRDefault="00C50E88" w:rsidP="00C50E88">
      <w:pPr>
        <w:spacing w:after="0"/>
        <w:ind w:left="720" w:hanging="720"/>
        <w:rPr>
          <w:rFonts w:eastAsia="Times New Roman" w:cs="Times New Roman"/>
          <w:szCs w:val="24"/>
        </w:rPr>
      </w:pPr>
      <w:r w:rsidRPr="00F144AC">
        <w:rPr>
          <w:rFonts w:eastAsia="Times New Roman" w:cs="Times New Roman"/>
          <w:szCs w:val="24"/>
        </w:rPr>
        <w:t>Van</w:t>
      </w:r>
      <w:r>
        <w:rPr>
          <w:rFonts w:eastAsia="Times New Roman" w:cs="Times New Roman"/>
          <w:szCs w:val="24"/>
        </w:rPr>
        <w:t xml:space="preserve"> der </w:t>
      </w:r>
      <w:proofErr w:type="spellStart"/>
      <w:r>
        <w:rPr>
          <w:rFonts w:eastAsia="Times New Roman" w:cs="Times New Roman"/>
          <w:szCs w:val="24"/>
        </w:rPr>
        <w:t>Kolk</w:t>
      </w:r>
      <w:proofErr w:type="spellEnd"/>
      <w:r>
        <w:rPr>
          <w:rFonts w:eastAsia="Times New Roman" w:cs="Times New Roman"/>
          <w:szCs w:val="24"/>
        </w:rPr>
        <w:t xml:space="preserve">, B., Van Veen-Dirks, P. M., &amp; </w:t>
      </w:r>
      <w:proofErr w:type="spellStart"/>
      <w:r>
        <w:rPr>
          <w:rFonts w:eastAsia="Times New Roman" w:cs="Times New Roman"/>
          <w:szCs w:val="24"/>
        </w:rPr>
        <w:t>T</w:t>
      </w:r>
      <w:r w:rsidRPr="00F144AC">
        <w:rPr>
          <w:rFonts w:eastAsia="Times New Roman" w:cs="Times New Roman"/>
          <w:szCs w:val="24"/>
        </w:rPr>
        <w:t>er</w:t>
      </w:r>
      <w:proofErr w:type="spellEnd"/>
      <w:r w:rsidRPr="00F144AC">
        <w:rPr>
          <w:rFonts w:eastAsia="Times New Roman" w:cs="Times New Roman"/>
          <w:szCs w:val="24"/>
        </w:rPr>
        <w:t xml:space="preserve"> </w:t>
      </w:r>
      <w:proofErr w:type="spellStart"/>
      <w:r w:rsidRPr="00F144AC">
        <w:rPr>
          <w:rFonts w:eastAsia="Times New Roman" w:cs="Times New Roman"/>
          <w:szCs w:val="24"/>
        </w:rPr>
        <w:t>Bogt</w:t>
      </w:r>
      <w:proofErr w:type="spellEnd"/>
      <w:r w:rsidRPr="00F144AC">
        <w:rPr>
          <w:rFonts w:eastAsia="Times New Roman" w:cs="Times New Roman"/>
          <w:szCs w:val="24"/>
        </w:rPr>
        <w:t xml:space="preserve">, H. J. (2019). The impact of management control on employee motivation and performance in the public sector. </w:t>
      </w:r>
      <w:r w:rsidRPr="00F144AC">
        <w:rPr>
          <w:rFonts w:eastAsia="Times New Roman" w:cs="Times New Roman"/>
          <w:i/>
          <w:iCs/>
          <w:szCs w:val="24"/>
        </w:rPr>
        <w:t>European Accounting Review</w:t>
      </w:r>
      <w:r w:rsidRPr="00F144AC">
        <w:rPr>
          <w:rFonts w:eastAsia="Times New Roman" w:cs="Times New Roman"/>
          <w:szCs w:val="24"/>
        </w:rPr>
        <w:t xml:space="preserve">, </w:t>
      </w:r>
      <w:r w:rsidRPr="00F144AC">
        <w:rPr>
          <w:rFonts w:eastAsia="Times New Roman" w:cs="Times New Roman"/>
          <w:i/>
          <w:iCs/>
          <w:szCs w:val="24"/>
        </w:rPr>
        <w:t>28</w:t>
      </w:r>
      <w:r w:rsidRPr="00F144AC">
        <w:rPr>
          <w:rFonts w:eastAsia="Times New Roman" w:cs="Times New Roman"/>
          <w:szCs w:val="24"/>
        </w:rPr>
        <w:t>(5), 901-928.</w:t>
      </w:r>
    </w:p>
    <w:p w:rsidR="00420127" w:rsidRDefault="00420127" w:rsidP="00420127">
      <w:pPr>
        <w:jc w:val="center"/>
      </w:pPr>
    </w:p>
    <w:p w:rsidR="00636D50" w:rsidRDefault="00636D50" w:rsidP="00636D50">
      <w:r>
        <w:lastRenderedPageBreak/>
        <w:tab/>
      </w:r>
    </w:p>
    <w:p w:rsidR="00636D50" w:rsidRDefault="00636D50" w:rsidP="00636D50">
      <w:pPr>
        <w:jc w:val="center"/>
      </w:pPr>
    </w:p>
    <w:p w:rsidR="00636D50" w:rsidRPr="00636D50" w:rsidRDefault="00636D50" w:rsidP="00636D50">
      <w:pPr>
        <w:jc w:val="center"/>
      </w:pPr>
    </w:p>
    <w:sectPr w:rsidR="00636D50" w:rsidRPr="00636D50" w:rsidSect="00636D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4AFB" w:rsidRDefault="00BB4AFB" w:rsidP="00636D50">
      <w:pPr>
        <w:spacing w:after="0" w:line="240" w:lineRule="auto"/>
      </w:pPr>
      <w:r>
        <w:separator/>
      </w:r>
    </w:p>
  </w:endnote>
  <w:endnote w:type="continuationSeparator" w:id="0">
    <w:p w:rsidR="00BB4AFB" w:rsidRDefault="00BB4AFB" w:rsidP="0063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4AFB" w:rsidRDefault="00BB4AFB" w:rsidP="00636D50">
      <w:pPr>
        <w:spacing w:after="0" w:line="240" w:lineRule="auto"/>
      </w:pPr>
      <w:r>
        <w:separator/>
      </w:r>
    </w:p>
  </w:footnote>
  <w:footnote w:type="continuationSeparator" w:id="0">
    <w:p w:rsidR="00BB4AFB" w:rsidRDefault="00BB4AFB" w:rsidP="0063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047570"/>
      <w:docPartObj>
        <w:docPartGallery w:val="Page Numbers (Top of Page)"/>
        <w:docPartUnique/>
      </w:docPartObj>
    </w:sdtPr>
    <w:sdtEndPr>
      <w:rPr>
        <w:noProof/>
      </w:rPr>
    </w:sdtEndPr>
    <w:sdtContent>
      <w:p w:rsidR="00636D50" w:rsidRDefault="00636D50">
        <w:pPr>
          <w:pStyle w:val="Header"/>
          <w:jc w:val="right"/>
        </w:pPr>
        <w:r>
          <w:t>PERFORMANCE CONTRACTING</w:t>
        </w:r>
        <w:r>
          <w:tab/>
        </w:r>
        <w:r>
          <w:tab/>
        </w:r>
        <w:r>
          <w:fldChar w:fldCharType="begin"/>
        </w:r>
        <w:r>
          <w:instrText xml:space="preserve"> PAGE   \* MERGEFORMAT </w:instrText>
        </w:r>
        <w:r>
          <w:fldChar w:fldCharType="separate"/>
        </w:r>
        <w:r w:rsidR="00FB7C85">
          <w:rPr>
            <w:noProof/>
          </w:rPr>
          <w:t>6</w:t>
        </w:r>
        <w:r>
          <w:rPr>
            <w:noProof/>
          </w:rPr>
          <w:fldChar w:fldCharType="end"/>
        </w:r>
      </w:p>
    </w:sdtContent>
  </w:sdt>
  <w:p w:rsidR="00636D50" w:rsidRDefault="00636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6D50" w:rsidRDefault="00636D50">
    <w:pPr>
      <w:pStyle w:val="Header"/>
    </w:pPr>
    <w:r>
      <w:t>Running Head: PERFORMANCE CONTRACTING</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1A"/>
    <w:rsid w:val="00000A29"/>
    <w:rsid w:val="00014397"/>
    <w:rsid w:val="00020BEE"/>
    <w:rsid w:val="000220BA"/>
    <w:rsid w:val="00031E0F"/>
    <w:rsid w:val="000411C7"/>
    <w:rsid w:val="00044FB5"/>
    <w:rsid w:val="00053C1C"/>
    <w:rsid w:val="00055827"/>
    <w:rsid w:val="00074A21"/>
    <w:rsid w:val="000953DF"/>
    <w:rsid w:val="000A652E"/>
    <w:rsid w:val="000A6B22"/>
    <w:rsid w:val="000C1DED"/>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118C7"/>
    <w:rsid w:val="0022001D"/>
    <w:rsid w:val="002209A8"/>
    <w:rsid w:val="00225D01"/>
    <w:rsid w:val="00226F79"/>
    <w:rsid w:val="002335E1"/>
    <w:rsid w:val="00241D21"/>
    <w:rsid w:val="0024704A"/>
    <w:rsid w:val="0025211E"/>
    <w:rsid w:val="002568D7"/>
    <w:rsid w:val="00265073"/>
    <w:rsid w:val="00272437"/>
    <w:rsid w:val="0029061C"/>
    <w:rsid w:val="00294667"/>
    <w:rsid w:val="00296E91"/>
    <w:rsid w:val="002A32D2"/>
    <w:rsid w:val="002A3AA6"/>
    <w:rsid w:val="002B5E50"/>
    <w:rsid w:val="002C09D2"/>
    <w:rsid w:val="002C37FA"/>
    <w:rsid w:val="002C38D6"/>
    <w:rsid w:val="002C4A43"/>
    <w:rsid w:val="002D22B2"/>
    <w:rsid w:val="002D38A9"/>
    <w:rsid w:val="002E7721"/>
    <w:rsid w:val="002F573C"/>
    <w:rsid w:val="002F766E"/>
    <w:rsid w:val="003042D1"/>
    <w:rsid w:val="00306EB1"/>
    <w:rsid w:val="003126B6"/>
    <w:rsid w:val="003202C5"/>
    <w:rsid w:val="00320DB4"/>
    <w:rsid w:val="0032334E"/>
    <w:rsid w:val="003235FC"/>
    <w:rsid w:val="003246F2"/>
    <w:rsid w:val="00337DA9"/>
    <w:rsid w:val="00343A13"/>
    <w:rsid w:val="0034429C"/>
    <w:rsid w:val="003500D9"/>
    <w:rsid w:val="00351B2A"/>
    <w:rsid w:val="00353561"/>
    <w:rsid w:val="0036405F"/>
    <w:rsid w:val="00377572"/>
    <w:rsid w:val="00383CE8"/>
    <w:rsid w:val="003955A1"/>
    <w:rsid w:val="003B08E6"/>
    <w:rsid w:val="003C4412"/>
    <w:rsid w:val="003E01D4"/>
    <w:rsid w:val="003F5365"/>
    <w:rsid w:val="003F6287"/>
    <w:rsid w:val="003F739F"/>
    <w:rsid w:val="00400297"/>
    <w:rsid w:val="00404D9F"/>
    <w:rsid w:val="00404FB4"/>
    <w:rsid w:val="004103B9"/>
    <w:rsid w:val="004132D4"/>
    <w:rsid w:val="0041504E"/>
    <w:rsid w:val="00420127"/>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1CC8"/>
    <w:rsid w:val="004D351D"/>
    <w:rsid w:val="004D6B40"/>
    <w:rsid w:val="004D6C17"/>
    <w:rsid w:val="004F456E"/>
    <w:rsid w:val="004F77B4"/>
    <w:rsid w:val="004F7993"/>
    <w:rsid w:val="00501D82"/>
    <w:rsid w:val="0051053B"/>
    <w:rsid w:val="00515EFB"/>
    <w:rsid w:val="00517C30"/>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6D50"/>
    <w:rsid w:val="00637283"/>
    <w:rsid w:val="0064231E"/>
    <w:rsid w:val="00647E75"/>
    <w:rsid w:val="00651841"/>
    <w:rsid w:val="0065435B"/>
    <w:rsid w:val="0067062A"/>
    <w:rsid w:val="00670B2C"/>
    <w:rsid w:val="0069113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67D25"/>
    <w:rsid w:val="0077271A"/>
    <w:rsid w:val="007769F6"/>
    <w:rsid w:val="00785B8D"/>
    <w:rsid w:val="00785F7C"/>
    <w:rsid w:val="0079019B"/>
    <w:rsid w:val="007930A0"/>
    <w:rsid w:val="007C34D3"/>
    <w:rsid w:val="007C43FC"/>
    <w:rsid w:val="007C5BE3"/>
    <w:rsid w:val="007D338C"/>
    <w:rsid w:val="007E0CAD"/>
    <w:rsid w:val="007E131A"/>
    <w:rsid w:val="007E2109"/>
    <w:rsid w:val="007F51B1"/>
    <w:rsid w:val="008133A8"/>
    <w:rsid w:val="00817E3F"/>
    <w:rsid w:val="008218EC"/>
    <w:rsid w:val="00821BAE"/>
    <w:rsid w:val="00821C78"/>
    <w:rsid w:val="00822D9D"/>
    <w:rsid w:val="0082499E"/>
    <w:rsid w:val="00836953"/>
    <w:rsid w:val="00847FF1"/>
    <w:rsid w:val="00850C76"/>
    <w:rsid w:val="008512F2"/>
    <w:rsid w:val="00862C17"/>
    <w:rsid w:val="00864B11"/>
    <w:rsid w:val="00871E6C"/>
    <w:rsid w:val="008722ED"/>
    <w:rsid w:val="00873627"/>
    <w:rsid w:val="00887B79"/>
    <w:rsid w:val="00895B57"/>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B615A"/>
    <w:rsid w:val="009C02B9"/>
    <w:rsid w:val="009C0545"/>
    <w:rsid w:val="009C164C"/>
    <w:rsid w:val="009C1AA9"/>
    <w:rsid w:val="009C29B2"/>
    <w:rsid w:val="009C74C7"/>
    <w:rsid w:val="009C767E"/>
    <w:rsid w:val="009D3EC6"/>
    <w:rsid w:val="009D7AC9"/>
    <w:rsid w:val="009E51DA"/>
    <w:rsid w:val="009F02BF"/>
    <w:rsid w:val="009F1A8B"/>
    <w:rsid w:val="00A00B63"/>
    <w:rsid w:val="00A10417"/>
    <w:rsid w:val="00A10676"/>
    <w:rsid w:val="00A209DE"/>
    <w:rsid w:val="00A329B4"/>
    <w:rsid w:val="00A33606"/>
    <w:rsid w:val="00A42FD0"/>
    <w:rsid w:val="00A43C3D"/>
    <w:rsid w:val="00A6104C"/>
    <w:rsid w:val="00A80134"/>
    <w:rsid w:val="00A82855"/>
    <w:rsid w:val="00A874FE"/>
    <w:rsid w:val="00AA20D7"/>
    <w:rsid w:val="00AA66FD"/>
    <w:rsid w:val="00AA7C43"/>
    <w:rsid w:val="00AC02B1"/>
    <w:rsid w:val="00AC1DED"/>
    <w:rsid w:val="00AC2271"/>
    <w:rsid w:val="00AC7386"/>
    <w:rsid w:val="00AD22F8"/>
    <w:rsid w:val="00AF151A"/>
    <w:rsid w:val="00AF1708"/>
    <w:rsid w:val="00AF31EA"/>
    <w:rsid w:val="00AF3648"/>
    <w:rsid w:val="00AF5008"/>
    <w:rsid w:val="00AF6578"/>
    <w:rsid w:val="00B03CFF"/>
    <w:rsid w:val="00B05A3D"/>
    <w:rsid w:val="00B07A5A"/>
    <w:rsid w:val="00B16A2C"/>
    <w:rsid w:val="00B17A5C"/>
    <w:rsid w:val="00B2071E"/>
    <w:rsid w:val="00B270FF"/>
    <w:rsid w:val="00B2738A"/>
    <w:rsid w:val="00B33274"/>
    <w:rsid w:val="00B36E52"/>
    <w:rsid w:val="00B46478"/>
    <w:rsid w:val="00B465B3"/>
    <w:rsid w:val="00B479FB"/>
    <w:rsid w:val="00B47EEF"/>
    <w:rsid w:val="00B75321"/>
    <w:rsid w:val="00B77FD8"/>
    <w:rsid w:val="00B821E9"/>
    <w:rsid w:val="00B84272"/>
    <w:rsid w:val="00B85D50"/>
    <w:rsid w:val="00B91225"/>
    <w:rsid w:val="00B91266"/>
    <w:rsid w:val="00BB4AFB"/>
    <w:rsid w:val="00BC0B91"/>
    <w:rsid w:val="00BC1A19"/>
    <w:rsid w:val="00BD055E"/>
    <w:rsid w:val="00BE24BF"/>
    <w:rsid w:val="00BE3705"/>
    <w:rsid w:val="00BE6BE2"/>
    <w:rsid w:val="00BF2AF7"/>
    <w:rsid w:val="00BF6DA9"/>
    <w:rsid w:val="00C170AE"/>
    <w:rsid w:val="00C30AAF"/>
    <w:rsid w:val="00C502A7"/>
    <w:rsid w:val="00C50E88"/>
    <w:rsid w:val="00C52EFC"/>
    <w:rsid w:val="00C563E2"/>
    <w:rsid w:val="00C72204"/>
    <w:rsid w:val="00C74BEA"/>
    <w:rsid w:val="00C761A0"/>
    <w:rsid w:val="00C806AE"/>
    <w:rsid w:val="00C80912"/>
    <w:rsid w:val="00C82B3A"/>
    <w:rsid w:val="00C84722"/>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2843"/>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A7D0F"/>
    <w:rsid w:val="00DB040E"/>
    <w:rsid w:val="00DB4E1B"/>
    <w:rsid w:val="00DB63E6"/>
    <w:rsid w:val="00DC141F"/>
    <w:rsid w:val="00DD26FE"/>
    <w:rsid w:val="00DD6996"/>
    <w:rsid w:val="00DF05DC"/>
    <w:rsid w:val="00E02F43"/>
    <w:rsid w:val="00E04B3F"/>
    <w:rsid w:val="00E1151D"/>
    <w:rsid w:val="00E25252"/>
    <w:rsid w:val="00E25685"/>
    <w:rsid w:val="00E32439"/>
    <w:rsid w:val="00E54F1A"/>
    <w:rsid w:val="00E60ACA"/>
    <w:rsid w:val="00E67863"/>
    <w:rsid w:val="00E722CD"/>
    <w:rsid w:val="00E72D75"/>
    <w:rsid w:val="00E743D0"/>
    <w:rsid w:val="00EA0925"/>
    <w:rsid w:val="00EA1FA7"/>
    <w:rsid w:val="00EA63AD"/>
    <w:rsid w:val="00EA6953"/>
    <w:rsid w:val="00EB015C"/>
    <w:rsid w:val="00EB01B6"/>
    <w:rsid w:val="00EB40BF"/>
    <w:rsid w:val="00EC696A"/>
    <w:rsid w:val="00EC7099"/>
    <w:rsid w:val="00EE1906"/>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B7C85"/>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F39BF-FEBC-4897-A459-7E79372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636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D50"/>
    <w:rPr>
      <w:rFonts w:ascii="Times New Roman" w:eastAsiaTheme="minorEastAsia" w:hAnsi="Times New Roman"/>
      <w:sz w:val="24"/>
    </w:rPr>
  </w:style>
  <w:style w:type="paragraph" w:styleId="Footer">
    <w:name w:val="footer"/>
    <w:basedOn w:val="Normal"/>
    <w:link w:val="FooterChar"/>
    <w:uiPriority w:val="99"/>
    <w:unhideWhenUsed/>
    <w:rsid w:val="00636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D50"/>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Guest User</cp:lastModifiedBy>
  <cp:revision>2</cp:revision>
  <dcterms:created xsi:type="dcterms:W3CDTF">2021-03-24T12:20:00Z</dcterms:created>
  <dcterms:modified xsi:type="dcterms:W3CDTF">2021-03-24T12:20:00Z</dcterms:modified>
</cp:coreProperties>
</file>