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29EA4" w14:textId="77777777" w:rsidR="009C599E" w:rsidRDefault="009C599E" w:rsidP="009C599E">
      <w:pPr>
        <w:pStyle w:val="Heading1"/>
      </w:pPr>
      <w:r w:rsidRPr="00DA60C5">
        <w:rPr>
          <w:sz w:val="32"/>
          <w:szCs w:val="32"/>
        </w:rPr>
        <w:t>Background</w:t>
      </w:r>
    </w:p>
    <w:p w14:paraId="73FCB9A4" w14:textId="77777777" w:rsidR="009C599E" w:rsidRDefault="009C599E" w:rsidP="009C599E"/>
    <w:p w14:paraId="416AAE08" w14:textId="3F7ED87C" w:rsidR="009C599E" w:rsidRPr="005366EA" w:rsidRDefault="009C599E" w:rsidP="009C599E">
      <w:pPr>
        <w:ind w:firstLine="720"/>
      </w:pPr>
      <w:r>
        <w:t xml:space="preserve">The energy audit performed throughout this project was done on </w:t>
      </w:r>
      <w:r w:rsidRPr="00AA1D9C">
        <w:t>Pierre’s</w:t>
      </w:r>
      <w:r w:rsidR="00A65CDF" w:rsidRPr="00AA1D9C">
        <w:t xml:space="preserve"> household</w:t>
      </w:r>
      <w:r w:rsidRPr="00AA1D9C">
        <w:t xml:space="preserve">.  </w:t>
      </w:r>
      <w:r w:rsidR="00A65CDF" w:rsidRPr="00AA1D9C">
        <w:t xml:space="preserve"> The energy audit is found in </w:t>
      </w:r>
      <w:r w:rsidRPr="00AA1D9C">
        <w:t>78 Shetland Way, in</w:t>
      </w:r>
      <w:r w:rsidR="00A65CDF" w:rsidRPr="00AA1D9C">
        <w:t xml:space="preserve"> Canada, Kanata, Ontario</w:t>
      </w:r>
      <w:r w:rsidRPr="00AA1D9C">
        <w:t xml:space="preserve"> and was built in 1989. </w:t>
      </w:r>
      <w:r w:rsidR="00A65CDF" w:rsidRPr="00AA1D9C">
        <w:t xml:space="preserve">The </w:t>
      </w:r>
      <w:r w:rsidRPr="00AA1D9C">
        <w:t xml:space="preserve">Pierre’s </w:t>
      </w:r>
      <w:r w:rsidR="00A65CDF" w:rsidRPr="00AA1D9C">
        <w:t xml:space="preserve">household </w:t>
      </w:r>
      <w:r w:rsidRPr="00AA1D9C">
        <w:t xml:space="preserve">is at approximately a 60-70% occupancy rate, and has a total area of </w:t>
      </w:r>
      <w:smartTag w:uri="urn:schemas-microsoft-com:office:smarttags" w:element="metricconverter">
        <w:smartTagPr>
          <w:attr w:name="ProductID" w:val="2478.44 ft2"/>
        </w:smartTagPr>
        <w:r w:rsidRPr="00AA1D9C">
          <w:t>2478.44 ft</w:t>
        </w:r>
        <w:r w:rsidRPr="00AA1D9C">
          <w:rPr>
            <w:vertAlign w:val="superscript"/>
          </w:rPr>
          <w:t>2</w:t>
        </w:r>
      </w:smartTag>
      <w:r w:rsidRPr="00AA1D9C">
        <w:t xml:space="preserve">. The house is a common type of residential building, with brick exterior. The house has many possible improvements that can be made. First of all there is an old natural gas furnace, and an old pool heater that can both be upgraded. Secondly there is insulation in the walls and roof that can be upgraded to more efficient higher R-value insulation. Finally, a new water heater will be installed, and almost all of the lighting in the house will be switch from incandescent to LED high efficiency bulbs. The lighting in this building consists of 55 T8 60 Watt lamps that must be replaced by 8 Watt LED. There are also currently 8 8W LED </w:t>
      </w:r>
      <w:r w:rsidR="00A65CDF" w:rsidRPr="00AA1D9C">
        <w:t>pot lights</w:t>
      </w:r>
      <w:r w:rsidRPr="00AA1D9C">
        <w:t xml:space="preserve"> throughout the house, and therefore these do not need to be upgraded, and will not be taken into account in our savings </w:t>
      </w:r>
      <w:r w:rsidR="00CA6B4A" w:rsidRPr="00AA1D9C">
        <w:t>calculations. Due</w:t>
      </w:r>
      <w:r w:rsidRPr="00AA1D9C">
        <w:t xml:space="preserve"> to the </w:t>
      </w:r>
      <w:r w:rsidR="00A65CDF" w:rsidRPr="00AA1D9C">
        <w:t xml:space="preserve">point </w:t>
      </w:r>
      <w:r w:rsidRPr="00AA1D9C">
        <w:t xml:space="preserve">that </w:t>
      </w:r>
      <w:r w:rsidR="00CA6B4A" w:rsidRPr="00AA1D9C">
        <w:t>the antagonization</w:t>
      </w:r>
      <w:r w:rsidR="003A22A0" w:rsidRPr="00AA1D9C">
        <w:t xml:space="preserve"> procedures have </w:t>
      </w:r>
      <w:r w:rsidR="00CA6B4A" w:rsidRPr="00AA1D9C">
        <w:t>to only</w:t>
      </w:r>
      <w:r w:rsidRPr="00AA1D9C">
        <w:t xml:space="preserve"> </w:t>
      </w:r>
      <w:r w:rsidR="003A22A0" w:rsidRPr="00AA1D9C">
        <w:t>comprise</w:t>
      </w:r>
      <w:r w:rsidRPr="00AA1D9C">
        <w:t xml:space="preserve"> energy</w:t>
      </w:r>
      <w:r w:rsidR="003A22A0" w:rsidRPr="00AA1D9C">
        <w:t xml:space="preserve"> convention</w:t>
      </w:r>
      <w:r w:rsidRPr="00AA1D9C">
        <w:t xml:space="preserve">, and </w:t>
      </w:r>
      <w:r w:rsidR="00CA6B4A" w:rsidRPr="00AA1D9C">
        <w:t>not the</w:t>
      </w:r>
      <w:r w:rsidR="003A22A0" w:rsidRPr="00AA1D9C">
        <w:t xml:space="preserve"> </w:t>
      </w:r>
      <w:r w:rsidRPr="00AA1D9C">
        <w:t xml:space="preserve">water </w:t>
      </w:r>
      <w:r w:rsidR="003A22A0" w:rsidRPr="00AA1D9C">
        <w:t>convention, the water usage for this report will not be studied. Similarly</w:t>
      </w:r>
      <w:r w:rsidRPr="00AA1D9C">
        <w:t xml:space="preserve">, </w:t>
      </w:r>
      <w:r w:rsidR="003A22A0" w:rsidRPr="00AA1D9C">
        <w:t xml:space="preserve">because of the </w:t>
      </w:r>
      <w:r w:rsidR="00CA6B4A" w:rsidRPr="00AA1D9C">
        <w:t>inaccessibility to</w:t>
      </w:r>
      <w:r w:rsidRPr="00AA1D9C">
        <w:t xml:space="preserve"> the</w:t>
      </w:r>
      <w:r w:rsidR="00CA6B4A" w:rsidRPr="00AA1D9C">
        <w:t xml:space="preserve"> antagonization</w:t>
      </w:r>
      <w:r w:rsidRPr="00AA1D9C">
        <w:t xml:space="preserve"> monthly </w:t>
      </w:r>
      <w:r w:rsidR="003A22A0" w:rsidRPr="00AA1D9C">
        <w:t xml:space="preserve">summit demand </w:t>
      </w:r>
      <w:r w:rsidR="00CA6B4A" w:rsidRPr="00AA1D9C">
        <w:t>data,</w:t>
      </w:r>
      <w:r w:rsidRPr="00AA1D9C">
        <w:t xml:space="preserve"> </w:t>
      </w:r>
      <w:r w:rsidR="00CA6B4A" w:rsidRPr="00AA1D9C">
        <w:t>then this won’t</w:t>
      </w:r>
      <w:r w:rsidRPr="00AA1D9C">
        <w:t xml:space="preserve"> be </w:t>
      </w:r>
      <w:r w:rsidR="00CA6B4A" w:rsidRPr="00AA1D9C">
        <w:t>examined also</w:t>
      </w:r>
      <w:r w:rsidRPr="00AA1D9C">
        <w:t>. The average electricity cost will be assumed as $0.12/kWh of electricity and $0.11/m</w:t>
      </w:r>
      <w:r w:rsidRPr="00AA1D9C">
        <w:rPr>
          <w:vertAlign w:val="superscript"/>
        </w:rPr>
        <w:t>3</w:t>
      </w:r>
      <w:r w:rsidRPr="00AA1D9C">
        <w:t xml:space="preserve"> of natural gas. All </w:t>
      </w:r>
      <w:r w:rsidR="00CA6B4A" w:rsidRPr="00AA1D9C">
        <w:t xml:space="preserve">these </w:t>
      </w:r>
      <w:r w:rsidRPr="00AA1D9C">
        <w:t xml:space="preserve">costs </w:t>
      </w:r>
      <w:r w:rsidR="00CA6B4A" w:rsidRPr="00AA1D9C">
        <w:t>stated in the</w:t>
      </w:r>
      <w:r w:rsidRPr="00AA1D9C">
        <w:t xml:space="preserve"> </w:t>
      </w:r>
      <w:r w:rsidR="00CA6B4A" w:rsidRPr="00AA1D9C">
        <w:t xml:space="preserve">commentary </w:t>
      </w:r>
      <w:r w:rsidRPr="00AA1D9C">
        <w:t xml:space="preserve">are </w:t>
      </w:r>
      <w:r w:rsidR="00CA6B4A" w:rsidRPr="00AA1D9C">
        <w:t>eliminating</w:t>
      </w:r>
      <w:r w:rsidRPr="00AA1D9C">
        <w:t xml:space="preserve"> </w:t>
      </w:r>
      <w:r w:rsidR="00CA6B4A" w:rsidRPr="00AA1D9C">
        <w:t>every</w:t>
      </w:r>
      <w:r w:rsidRPr="00AA1D9C">
        <w:t xml:space="preserve"> </w:t>
      </w:r>
      <w:r w:rsidR="00CA6B4A" w:rsidRPr="00AA1D9C">
        <w:t>extra</w:t>
      </w:r>
      <w:r w:rsidRPr="00AA1D9C">
        <w:t xml:space="preserve"> </w:t>
      </w:r>
      <w:r w:rsidR="00CA6B4A" w:rsidRPr="00AA1D9C">
        <w:t xml:space="preserve">cost </w:t>
      </w:r>
      <w:r w:rsidRPr="00AA1D9C">
        <w:t xml:space="preserve">to </w:t>
      </w:r>
      <w:r w:rsidR="00CA6B4A" w:rsidRPr="00AA1D9C">
        <w:t xml:space="preserve">abridge the </w:t>
      </w:r>
      <w:r w:rsidRPr="00AA1D9C">
        <w:t>calculations.</w:t>
      </w:r>
    </w:p>
    <w:p w14:paraId="34A340A6" w14:textId="77777777" w:rsidR="009C599E" w:rsidRDefault="009C599E" w:rsidP="009C599E">
      <w:pPr>
        <w:pStyle w:val="Heading1"/>
      </w:pPr>
      <w:r>
        <w:t>Historical Utility Data Analysis</w:t>
      </w:r>
    </w:p>
    <w:p w14:paraId="75F3EEAD" w14:textId="162A2F9B" w:rsidR="009C599E" w:rsidRPr="00EB46C1" w:rsidRDefault="00CA6B4A" w:rsidP="009C599E">
      <w:pPr>
        <w:keepNext/>
        <w:keepLines/>
        <w:spacing w:before="40" w:after="0" w:line="259"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t>Base load</w:t>
      </w:r>
      <w:r w:rsidR="009C599E" w:rsidRPr="00EB46C1">
        <w:rPr>
          <w:rFonts w:ascii="Calibri Light" w:eastAsia="Times New Roman" w:hAnsi="Calibri Light" w:cs="Times New Roman"/>
          <w:color w:val="2E74B5"/>
          <w:sz w:val="26"/>
          <w:szCs w:val="26"/>
        </w:rPr>
        <w:t>:</w:t>
      </w:r>
    </w:p>
    <w:p w14:paraId="2A1862E7" w14:textId="77777777" w:rsidR="009C599E" w:rsidRPr="00EB46C1" w:rsidRDefault="009C599E" w:rsidP="009C599E">
      <w:pPr>
        <w:spacing w:after="160" w:line="240" w:lineRule="auto"/>
        <w:rPr>
          <w:rFonts w:ascii="Calibri" w:eastAsia="Calibri" w:hAnsi="Calibri" w:cs="Arial"/>
        </w:rPr>
      </w:pPr>
      <w:r w:rsidRPr="00EB46C1">
        <w:rPr>
          <w:rFonts w:ascii="Calibri" w:eastAsia="Calibri" w:hAnsi="Calibri" w:cs="Arial"/>
        </w:rPr>
        <w:t>The Natural Gas baseload for this residential building consists of:</w:t>
      </w:r>
    </w:p>
    <w:p w14:paraId="0496FBBB"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A dryer which runs two hours per week on average</w:t>
      </w:r>
    </w:p>
    <w:p w14:paraId="2F43F72C"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fireplace pilot light, which is on throughout the entire year except for summer months</w:t>
      </w:r>
    </w:p>
    <w:p w14:paraId="5D6E1C56"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BBQ which is used approximately 1 hour per week for the entire year and an extra hour and a half during the six warmer months.</w:t>
      </w:r>
    </w:p>
    <w:p w14:paraId="644208C6"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domestic hot water pilot light is always turned on.</w:t>
      </w:r>
    </w:p>
    <w:p w14:paraId="54578598"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Finally, the Furnace pilot light is also always turned on.</w:t>
      </w:r>
    </w:p>
    <w:p w14:paraId="3CAD071D" w14:textId="77777777" w:rsidR="009C599E" w:rsidRPr="00EB46C1" w:rsidRDefault="009C599E" w:rsidP="009C599E">
      <w:pPr>
        <w:spacing w:after="160" w:line="240" w:lineRule="auto"/>
        <w:ind w:firstLine="360"/>
        <w:rPr>
          <w:rFonts w:ascii="Calibri" w:eastAsia="Calibri" w:hAnsi="Calibri" w:cs="Arial"/>
        </w:rPr>
      </w:pPr>
      <w:r w:rsidRPr="00EB46C1">
        <w:rPr>
          <w:rFonts w:ascii="Calibri" w:eastAsia="Calibri" w:hAnsi="Calibri" w:cs="Arial"/>
        </w:rPr>
        <w:t>The electricity Baseload for this residential building consists of the electrical appliances, which includes: the TV, fridge, stove, laundry machine, computers, microwaves, and all other appliances that can be plugged into the wall. Also, the lighting baseload, consists of a total of 55 T8 60 watt lamps, and 8 LED potlight lamps, that are all on different schedules varying from 1-10 hours/day.</w:t>
      </w:r>
    </w:p>
    <w:p w14:paraId="54F6B6C8" w14:textId="77777777" w:rsidR="009C599E" w:rsidRPr="00EB46C1" w:rsidRDefault="009C599E" w:rsidP="009C599E">
      <w:pPr>
        <w:keepNext/>
        <w:keepLines/>
        <w:spacing w:before="40" w:after="0" w:line="240"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t>Summer:</w:t>
      </w:r>
    </w:p>
    <w:p w14:paraId="17CEE8EE" w14:textId="77777777" w:rsidR="009C599E" w:rsidRPr="00EB46C1" w:rsidRDefault="009C599E" w:rsidP="009C599E">
      <w:pPr>
        <w:spacing w:after="160" w:line="240" w:lineRule="auto"/>
        <w:ind w:firstLine="720"/>
        <w:rPr>
          <w:rFonts w:ascii="Calibri" w:eastAsia="Calibri" w:hAnsi="Calibri" w:cs="Arial"/>
        </w:rPr>
      </w:pPr>
      <w:r w:rsidRPr="00EB46C1">
        <w:rPr>
          <w:rFonts w:ascii="Calibri" w:eastAsia="Calibri" w:hAnsi="Calibri" w:cs="Arial"/>
        </w:rPr>
        <w:t>For the natural gas, the peak occurs in mid-summer due to the pool heater, BBQ being used a lot. However, in May and July the gas consumption goes down because the furnace gets turned off, as well as the fireplace pilot light. Also the consumption varies a lot during the winter because the high temperatures sometimes allows the pool to be heated by solar radiation. (We used a heating setpoint of 17 degrees Celsius.)</w:t>
      </w:r>
    </w:p>
    <w:p w14:paraId="77CAB6DE" w14:textId="77777777" w:rsidR="009C599E" w:rsidRPr="00EB46C1" w:rsidRDefault="009C599E" w:rsidP="009C599E">
      <w:pPr>
        <w:keepNext/>
        <w:keepLines/>
        <w:spacing w:before="40" w:after="0" w:line="240"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lastRenderedPageBreak/>
        <w:t>Winter:</w:t>
      </w:r>
    </w:p>
    <w:p w14:paraId="36D65CA2" w14:textId="77777777" w:rsidR="009C599E" w:rsidRPr="00EB46C1" w:rsidRDefault="009C599E" w:rsidP="009C599E">
      <w:pPr>
        <w:spacing w:after="160" w:line="240" w:lineRule="auto"/>
        <w:ind w:firstLine="720"/>
        <w:rPr>
          <w:rFonts w:ascii="Calibri" w:eastAsia="Calibri" w:hAnsi="Calibri" w:cs="Arial"/>
        </w:rPr>
      </w:pPr>
      <w:r w:rsidRPr="00EB46C1">
        <w:rPr>
          <w:rFonts w:ascii="Calibri" w:eastAsia="Calibri" w:hAnsi="Calibri" w:cs="Arial"/>
        </w:rPr>
        <w:t>The fireplace which is only used in the winter consumes a lot of natural gas, because it is used as a secondary heating system for the house. (We used a cooling setpoint of 24 degrees Celsius)</w:t>
      </w:r>
    </w:p>
    <w:p w14:paraId="58AC819A" w14:textId="363DB22A" w:rsidR="009C599E" w:rsidRDefault="009C599E" w:rsidP="00DE07CE">
      <w:pPr>
        <w:tabs>
          <w:tab w:val="left" w:pos="6630"/>
        </w:tabs>
        <w:spacing w:line="240" w:lineRule="auto"/>
        <w:ind w:firstLine="720"/>
      </w:pPr>
      <w:r>
        <w:fldChar w:fldCharType="begin"/>
      </w:r>
      <w:r>
        <w:instrText xml:space="preserve"> LINK Excel.Sheet.12 "C:\\Users\\ryan\\Desktop\\our utility data for Mark Pasini Energy Auditing Class.xlsx" Sheet1!R1C1:R17C4 \a \f 4 \h  \* MERGEFORMAT </w:instrText>
      </w:r>
      <w:r>
        <w:fldChar w:fldCharType="separate"/>
      </w:r>
      <w:r w:rsidR="00DE07CE">
        <w:tab/>
      </w:r>
    </w:p>
    <w:tbl>
      <w:tblPr>
        <w:tblW w:w="6804" w:type="dxa"/>
        <w:tblLook w:val="04A0" w:firstRow="1" w:lastRow="0" w:firstColumn="1" w:lastColumn="0" w:noHBand="0" w:noVBand="1"/>
      </w:tblPr>
      <w:tblGrid>
        <w:gridCol w:w="1454"/>
        <w:gridCol w:w="2048"/>
        <w:gridCol w:w="2130"/>
        <w:gridCol w:w="1172"/>
      </w:tblGrid>
      <w:tr w:rsidR="009C599E" w:rsidRPr="00AE034F" w14:paraId="50E1EC9B" w14:textId="77777777" w:rsidTr="00173170">
        <w:trPr>
          <w:trHeight w:val="295"/>
        </w:trPr>
        <w:tc>
          <w:tcPr>
            <w:tcW w:w="1454" w:type="dxa"/>
            <w:tcBorders>
              <w:top w:val="nil"/>
              <w:left w:val="nil"/>
              <w:bottom w:val="nil"/>
              <w:right w:val="nil"/>
            </w:tcBorders>
            <w:shd w:val="clear" w:color="auto" w:fill="auto"/>
            <w:noWrap/>
            <w:vAlign w:val="bottom"/>
            <w:hideMark/>
          </w:tcPr>
          <w:p w14:paraId="6CF4C71C" w14:textId="77777777" w:rsidR="009C599E" w:rsidRPr="00DE07CE" w:rsidRDefault="009C599E" w:rsidP="00173170">
            <w:pPr>
              <w:spacing w:after="0" w:line="240" w:lineRule="auto"/>
              <w:rPr>
                <w:rFonts w:ascii="Calibri" w:eastAsia="Times New Roman" w:hAnsi="Calibri" w:cs="Times New Roman"/>
                <w:b/>
                <w:bCs/>
                <w:color w:val="000000"/>
                <w:u w:val="single"/>
                <w:lang w:eastAsia="en-CA"/>
              </w:rPr>
            </w:pPr>
            <w:r w:rsidRPr="00DE07CE">
              <w:rPr>
                <w:rFonts w:ascii="Calibri" w:eastAsia="Times New Roman" w:hAnsi="Calibri" w:cs="Times New Roman"/>
                <w:b/>
                <w:bCs/>
                <w:color w:val="000000"/>
                <w:u w:val="single"/>
                <w:lang w:eastAsia="en-CA"/>
              </w:rPr>
              <w:t>Utility data:</w:t>
            </w:r>
          </w:p>
        </w:tc>
        <w:tc>
          <w:tcPr>
            <w:tcW w:w="2048" w:type="dxa"/>
            <w:tcBorders>
              <w:top w:val="nil"/>
              <w:left w:val="nil"/>
              <w:bottom w:val="nil"/>
              <w:right w:val="nil"/>
            </w:tcBorders>
            <w:shd w:val="clear" w:color="auto" w:fill="auto"/>
            <w:noWrap/>
            <w:vAlign w:val="bottom"/>
            <w:hideMark/>
          </w:tcPr>
          <w:p w14:paraId="05877908" w14:textId="77777777" w:rsidR="009C599E" w:rsidRPr="00DE07CE" w:rsidRDefault="009C599E" w:rsidP="00173170">
            <w:pPr>
              <w:spacing w:after="0" w:line="240" w:lineRule="auto"/>
              <w:rPr>
                <w:rFonts w:ascii="Calibri" w:eastAsia="Times New Roman" w:hAnsi="Calibri" w:cs="Times New Roman"/>
                <w:b/>
                <w:bCs/>
                <w:color w:val="000000"/>
                <w:u w:val="single"/>
                <w:lang w:eastAsia="en-CA"/>
              </w:rPr>
            </w:pPr>
          </w:p>
        </w:tc>
        <w:tc>
          <w:tcPr>
            <w:tcW w:w="2130" w:type="dxa"/>
            <w:tcBorders>
              <w:top w:val="nil"/>
              <w:left w:val="nil"/>
              <w:bottom w:val="nil"/>
              <w:right w:val="nil"/>
            </w:tcBorders>
            <w:shd w:val="clear" w:color="auto" w:fill="auto"/>
            <w:noWrap/>
            <w:vAlign w:val="bottom"/>
            <w:hideMark/>
          </w:tcPr>
          <w:p w14:paraId="393AE520"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c>
          <w:tcPr>
            <w:tcW w:w="1172" w:type="dxa"/>
            <w:tcBorders>
              <w:top w:val="nil"/>
              <w:left w:val="nil"/>
              <w:bottom w:val="nil"/>
              <w:right w:val="nil"/>
            </w:tcBorders>
            <w:shd w:val="clear" w:color="auto" w:fill="auto"/>
            <w:noWrap/>
            <w:vAlign w:val="bottom"/>
            <w:hideMark/>
          </w:tcPr>
          <w:p w14:paraId="2374BF77"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r>
      <w:tr w:rsidR="009C599E" w:rsidRPr="00AE034F" w14:paraId="547F0091" w14:textId="77777777" w:rsidTr="00173170">
        <w:trPr>
          <w:trHeight w:val="295"/>
        </w:trPr>
        <w:tc>
          <w:tcPr>
            <w:tcW w:w="1454" w:type="dxa"/>
            <w:tcBorders>
              <w:top w:val="nil"/>
              <w:left w:val="nil"/>
              <w:bottom w:val="nil"/>
              <w:right w:val="nil"/>
            </w:tcBorders>
            <w:shd w:val="clear" w:color="auto" w:fill="auto"/>
            <w:noWrap/>
            <w:vAlign w:val="bottom"/>
            <w:hideMark/>
          </w:tcPr>
          <w:p w14:paraId="063ECEE1"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c>
          <w:tcPr>
            <w:tcW w:w="5350" w:type="dxa"/>
            <w:gridSpan w:val="3"/>
            <w:tcBorders>
              <w:top w:val="nil"/>
              <w:left w:val="nil"/>
              <w:bottom w:val="nil"/>
              <w:right w:val="nil"/>
            </w:tcBorders>
            <w:shd w:val="clear" w:color="auto" w:fill="auto"/>
            <w:noWrap/>
            <w:vAlign w:val="bottom"/>
            <w:hideMark/>
          </w:tcPr>
          <w:p w14:paraId="329335AD" w14:textId="77777777" w:rsidR="009C599E" w:rsidRPr="00AE034F" w:rsidRDefault="009C599E" w:rsidP="00173170">
            <w:pPr>
              <w:spacing w:after="0" w:line="240" w:lineRule="auto"/>
              <w:jc w:val="center"/>
              <w:rPr>
                <w:rFonts w:ascii="Calibri" w:eastAsia="Times New Roman" w:hAnsi="Calibri" w:cs="Times New Roman"/>
                <w:b/>
                <w:bCs/>
                <w:color w:val="000000"/>
                <w:lang w:eastAsia="en-CA"/>
              </w:rPr>
            </w:pPr>
            <w:r w:rsidRPr="00AA1D9C">
              <w:rPr>
                <w:rFonts w:ascii="Calibri" w:eastAsia="Times New Roman" w:hAnsi="Calibri" w:cs="Times New Roman"/>
                <w:b/>
                <w:bCs/>
                <w:color w:val="000000"/>
                <w:lang w:eastAsia="en-CA"/>
              </w:rPr>
              <w:t>Electricity</w:t>
            </w:r>
          </w:p>
        </w:tc>
      </w:tr>
      <w:tr w:rsidR="009C599E" w:rsidRPr="00AA1D9C" w14:paraId="366D3A73" w14:textId="77777777" w:rsidTr="00173170">
        <w:trPr>
          <w:trHeight w:val="309"/>
        </w:trPr>
        <w:tc>
          <w:tcPr>
            <w:tcW w:w="680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5A8E6" w14:textId="77777777" w:rsidR="009C599E" w:rsidRPr="00AE034F" w:rsidRDefault="009C599E" w:rsidP="00173170">
            <w:pPr>
              <w:spacing w:after="0" w:line="240" w:lineRule="auto"/>
              <w:jc w:val="center"/>
              <w:rPr>
                <w:rFonts w:ascii="Calibri" w:eastAsia="Times New Roman" w:hAnsi="Calibri" w:cs="Times New Roman"/>
                <w:b/>
                <w:bCs/>
                <w:color w:val="000000"/>
                <w:sz w:val="24"/>
                <w:szCs w:val="24"/>
                <w:lang w:eastAsia="en-CA"/>
              </w:rPr>
            </w:pPr>
            <w:r w:rsidRPr="00DE07CE">
              <w:rPr>
                <w:rFonts w:ascii="Calibri" w:eastAsia="Times New Roman" w:hAnsi="Calibri" w:cs="Times New Roman"/>
                <w:b/>
                <w:bCs/>
                <w:color w:val="FF0000"/>
                <w:sz w:val="24"/>
                <w:szCs w:val="24"/>
                <w:lang w:eastAsia="en-CA"/>
              </w:rPr>
              <w:t>2016</w:t>
            </w:r>
          </w:p>
        </w:tc>
      </w:tr>
      <w:tr w:rsidR="009C599E" w:rsidRPr="00AE034F" w14:paraId="28E9F34D" w14:textId="77777777" w:rsidTr="00173170">
        <w:trPr>
          <w:trHeight w:val="752"/>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17681EC7"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Month</w:t>
            </w:r>
          </w:p>
        </w:tc>
        <w:tc>
          <w:tcPr>
            <w:tcW w:w="2048" w:type="dxa"/>
            <w:tcBorders>
              <w:top w:val="nil"/>
              <w:left w:val="nil"/>
              <w:bottom w:val="single" w:sz="4" w:space="0" w:color="auto"/>
              <w:right w:val="single" w:sz="4" w:space="0" w:color="auto"/>
            </w:tcBorders>
            <w:shd w:val="clear" w:color="auto" w:fill="auto"/>
            <w:vAlign w:val="center"/>
            <w:hideMark/>
          </w:tcPr>
          <w:p w14:paraId="1071795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kWh</w:t>
            </w:r>
          </w:p>
        </w:tc>
        <w:tc>
          <w:tcPr>
            <w:tcW w:w="2130" w:type="dxa"/>
            <w:tcBorders>
              <w:top w:val="nil"/>
              <w:left w:val="nil"/>
              <w:bottom w:val="single" w:sz="4" w:space="0" w:color="auto"/>
              <w:right w:val="single" w:sz="4" w:space="0" w:color="auto"/>
            </w:tcBorders>
            <w:shd w:val="clear" w:color="auto" w:fill="auto"/>
            <w:vAlign w:val="center"/>
            <w:hideMark/>
          </w:tcPr>
          <w:p w14:paraId="6C487ED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Billing </w:t>
            </w:r>
            <w:r w:rsidRPr="00AA1D9C">
              <w:rPr>
                <w:rFonts w:ascii="Calibri" w:eastAsia="Times New Roman" w:hAnsi="Calibri" w:cs="Times New Roman"/>
                <w:color w:val="000000"/>
                <w:sz w:val="20"/>
                <w:szCs w:val="20"/>
                <w:lang w:eastAsia="en-CA"/>
              </w:rPr>
              <w:t>#</w:t>
            </w:r>
            <w:r w:rsidRPr="00AE034F">
              <w:rPr>
                <w:rFonts w:ascii="Calibri" w:eastAsia="Times New Roman" w:hAnsi="Calibri" w:cs="Times New Roman"/>
                <w:color w:val="000000"/>
                <w:sz w:val="20"/>
                <w:szCs w:val="20"/>
                <w:lang w:eastAsia="en-CA"/>
              </w:rPr>
              <w:t xml:space="preserve"> of Days</w:t>
            </w:r>
          </w:p>
        </w:tc>
        <w:tc>
          <w:tcPr>
            <w:tcW w:w="1172" w:type="dxa"/>
            <w:tcBorders>
              <w:top w:val="nil"/>
              <w:left w:val="nil"/>
              <w:bottom w:val="single" w:sz="4" w:space="0" w:color="auto"/>
              <w:right w:val="single" w:sz="4" w:space="0" w:color="auto"/>
            </w:tcBorders>
            <w:shd w:val="clear" w:color="auto" w:fill="auto"/>
            <w:vAlign w:val="center"/>
            <w:hideMark/>
          </w:tcPr>
          <w:p w14:paraId="343679C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Total before Charges</w:t>
            </w:r>
          </w:p>
        </w:tc>
      </w:tr>
      <w:tr w:rsidR="009C599E" w:rsidRPr="00AE034F" w14:paraId="1545C29E"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2279310"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January</w:t>
            </w:r>
          </w:p>
        </w:tc>
        <w:tc>
          <w:tcPr>
            <w:tcW w:w="2048" w:type="dxa"/>
            <w:tcBorders>
              <w:top w:val="nil"/>
              <w:left w:val="nil"/>
              <w:bottom w:val="single" w:sz="4" w:space="0" w:color="auto"/>
              <w:right w:val="single" w:sz="4" w:space="0" w:color="auto"/>
            </w:tcBorders>
            <w:shd w:val="clear" w:color="auto" w:fill="auto"/>
            <w:noWrap/>
            <w:vAlign w:val="bottom"/>
            <w:hideMark/>
          </w:tcPr>
          <w:p w14:paraId="3341883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810.04</w:t>
            </w:r>
          </w:p>
        </w:tc>
        <w:tc>
          <w:tcPr>
            <w:tcW w:w="2130" w:type="dxa"/>
            <w:tcBorders>
              <w:top w:val="nil"/>
              <w:left w:val="nil"/>
              <w:bottom w:val="single" w:sz="4" w:space="0" w:color="auto"/>
              <w:right w:val="single" w:sz="4" w:space="0" w:color="auto"/>
            </w:tcBorders>
            <w:shd w:val="clear" w:color="auto" w:fill="auto"/>
            <w:noWrap/>
            <w:vAlign w:val="bottom"/>
            <w:hideMark/>
          </w:tcPr>
          <w:p w14:paraId="74141AD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32</w:t>
            </w:r>
          </w:p>
        </w:tc>
        <w:tc>
          <w:tcPr>
            <w:tcW w:w="1172" w:type="dxa"/>
            <w:tcBorders>
              <w:top w:val="nil"/>
              <w:left w:val="nil"/>
              <w:bottom w:val="single" w:sz="4" w:space="0" w:color="auto"/>
              <w:right w:val="single" w:sz="4" w:space="0" w:color="auto"/>
            </w:tcBorders>
            <w:shd w:val="clear" w:color="auto" w:fill="auto"/>
            <w:noWrap/>
            <w:vAlign w:val="bottom"/>
            <w:hideMark/>
          </w:tcPr>
          <w:p w14:paraId="4256C16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80.93 </w:t>
            </w:r>
          </w:p>
        </w:tc>
      </w:tr>
      <w:tr w:rsidR="009C599E" w:rsidRPr="00AE034F" w14:paraId="5D124C83"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047DE19"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February</w:t>
            </w:r>
          </w:p>
        </w:tc>
        <w:tc>
          <w:tcPr>
            <w:tcW w:w="2048" w:type="dxa"/>
            <w:tcBorders>
              <w:top w:val="nil"/>
              <w:left w:val="nil"/>
              <w:bottom w:val="single" w:sz="4" w:space="0" w:color="auto"/>
              <w:right w:val="single" w:sz="4" w:space="0" w:color="auto"/>
            </w:tcBorders>
            <w:shd w:val="clear" w:color="auto" w:fill="auto"/>
            <w:noWrap/>
            <w:vAlign w:val="bottom"/>
            <w:hideMark/>
          </w:tcPr>
          <w:p w14:paraId="50202F7C"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753.96</w:t>
            </w:r>
          </w:p>
        </w:tc>
        <w:tc>
          <w:tcPr>
            <w:tcW w:w="2130" w:type="dxa"/>
            <w:tcBorders>
              <w:top w:val="nil"/>
              <w:left w:val="nil"/>
              <w:bottom w:val="single" w:sz="4" w:space="0" w:color="auto"/>
              <w:right w:val="single" w:sz="4" w:space="0" w:color="auto"/>
            </w:tcBorders>
            <w:shd w:val="clear" w:color="auto" w:fill="auto"/>
            <w:noWrap/>
            <w:vAlign w:val="bottom"/>
            <w:hideMark/>
          </w:tcPr>
          <w:p w14:paraId="7DCA900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28</w:t>
            </w:r>
          </w:p>
        </w:tc>
        <w:tc>
          <w:tcPr>
            <w:tcW w:w="1172" w:type="dxa"/>
            <w:tcBorders>
              <w:top w:val="nil"/>
              <w:left w:val="nil"/>
              <w:bottom w:val="single" w:sz="4" w:space="0" w:color="auto"/>
              <w:right w:val="single" w:sz="4" w:space="0" w:color="auto"/>
            </w:tcBorders>
            <w:shd w:val="clear" w:color="auto" w:fill="auto"/>
            <w:noWrap/>
            <w:vAlign w:val="bottom"/>
            <w:hideMark/>
          </w:tcPr>
          <w:p w14:paraId="5F04FAB1"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78.11 </w:t>
            </w:r>
          </w:p>
        </w:tc>
      </w:tr>
      <w:tr w:rsidR="009C599E" w:rsidRPr="00AE034F" w14:paraId="291ACF7A"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220E333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March</w:t>
            </w:r>
          </w:p>
        </w:tc>
        <w:tc>
          <w:tcPr>
            <w:tcW w:w="2048" w:type="dxa"/>
            <w:tcBorders>
              <w:top w:val="nil"/>
              <w:left w:val="nil"/>
              <w:bottom w:val="single" w:sz="4" w:space="0" w:color="auto"/>
              <w:right w:val="single" w:sz="4" w:space="0" w:color="auto"/>
            </w:tcBorders>
            <w:shd w:val="clear" w:color="auto" w:fill="auto"/>
            <w:noWrap/>
            <w:vAlign w:val="bottom"/>
            <w:hideMark/>
          </w:tcPr>
          <w:p w14:paraId="15D018A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684.59</w:t>
            </w:r>
          </w:p>
        </w:tc>
        <w:tc>
          <w:tcPr>
            <w:tcW w:w="2130" w:type="dxa"/>
            <w:tcBorders>
              <w:top w:val="nil"/>
              <w:left w:val="nil"/>
              <w:bottom w:val="single" w:sz="4" w:space="0" w:color="auto"/>
              <w:right w:val="single" w:sz="4" w:space="0" w:color="auto"/>
            </w:tcBorders>
            <w:shd w:val="clear" w:color="auto" w:fill="auto"/>
            <w:noWrap/>
            <w:vAlign w:val="bottom"/>
            <w:hideMark/>
          </w:tcPr>
          <w:p w14:paraId="6B4E9DAD"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4203DBFA"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70.04 </w:t>
            </w:r>
          </w:p>
        </w:tc>
      </w:tr>
      <w:tr w:rsidR="009C599E" w:rsidRPr="00AE034F" w14:paraId="7F12ACAB"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4964401"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April</w:t>
            </w:r>
          </w:p>
        </w:tc>
        <w:tc>
          <w:tcPr>
            <w:tcW w:w="2048" w:type="dxa"/>
            <w:tcBorders>
              <w:top w:val="nil"/>
              <w:left w:val="nil"/>
              <w:bottom w:val="single" w:sz="4" w:space="0" w:color="auto"/>
              <w:right w:val="single" w:sz="4" w:space="0" w:color="auto"/>
            </w:tcBorders>
            <w:shd w:val="clear" w:color="auto" w:fill="auto"/>
            <w:noWrap/>
            <w:vAlign w:val="bottom"/>
            <w:hideMark/>
          </w:tcPr>
          <w:p w14:paraId="13BB952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552.72</w:t>
            </w:r>
          </w:p>
        </w:tc>
        <w:tc>
          <w:tcPr>
            <w:tcW w:w="2130" w:type="dxa"/>
            <w:tcBorders>
              <w:top w:val="nil"/>
              <w:left w:val="nil"/>
              <w:bottom w:val="single" w:sz="4" w:space="0" w:color="auto"/>
              <w:right w:val="single" w:sz="4" w:space="0" w:color="auto"/>
            </w:tcBorders>
            <w:shd w:val="clear" w:color="auto" w:fill="auto"/>
            <w:noWrap/>
            <w:vAlign w:val="bottom"/>
            <w:hideMark/>
          </w:tcPr>
          <w:p w14:paraId="1E56F61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092C2EF9"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56.22 </w:t>
            </w:r>
          </w:p>
        </w:tc>
      </w:tr>
      <w:tr w:rsidR="009C599E" w:rsidRPr="00AE034F" w14:paraId="4647A907"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A770E64"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May</w:t>
            </w:r>
          </w:p>
        </w:tc>
        <w:tc>
          <w:tcPr>
            <w:tcW w:w="2048" w:type="dxa"/>
            <w:tcBorders>
              <w:top w:val="nil"/>
              <w:left w:val="nil"/>
              <w:bottom w:val="single" w:sz="4" w:space="0" w:color="auto"/>
              <w:right w:val="single" w:sz="4" w:space="0" w:color="auto"/>
            </w:tcBorders>
            <w:shd w:val="clear" w:color="auto" w:fill="auto"/>
            <w:noWrap/>
            <w:vAlign w:val="bottom"/>
            <w:hideMark/>
          </w:tcPr>
          <w:p w14:paraId="146FC5F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476.85</w:t>
            </w:r>
          </w:p>
        </w:tc>
        <w:tc>
          <w:tcPr>
            <w:tcW w:w="2130" w:type="dxa"/>
            <w:tcBorders>
              <w:top w:val="nil"/>
              <w:left w:val="nil"/>
              <w:bottom w:val="single" w:sz="4" w:space="0" w:color="auto"/>
              <w:right w:val="single" w:sz="4" w:space="0" w:color="auto"/>
            </w:tcBorders>
            <w:shd w:val="clear" w:color="auto" w:fill="auto"/>
            <w:noWrap/>
            <w:vAlign w:val="bottom"/>
            <w:hideMark/>
          </w:tcPr>
          <w:p w14:paraId="1F0A014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5DDEC56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49.37 </w:t>
            </w:r>
          </w:p>
        </w:tc>
      </w:tr>
      <w:tr w:rsidR="009C599E" w:rsidRPr="00AE034F" w14:paraId="7E93C692"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462C5C9E"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June</w:t>
            </w:r>
          </w:p>
        </w:tc>
        <w:tc>
          <w:tcPr>
            <w:tcW w:w="2048" w:type="dxa"/>
            <w:tcBorders>
              <w:top w:val="nil"/>
              <w:left w:val="nil"/>
              <w:bottom w:val="single" w:sz="4" w:space="0" w:color="auto"/>
              <w:right w:val="single" w:sz="4" w:space="0" w:color="auto"/>
            </w:tcBorders>
            <w:shd w:val="clear" w:color="auto" w:fill="auto"/>
            <w:noWrap/>
            <w:vAlign w:val="bottom"/>
            <w:hideMark/>
          </w:tcPr>
          <w:p w14:paraId="2EE9E28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770.43</w:t>
            </w:r>
          </w:p>
        </w:tc>
        <w:tc>
          <w:tcPr>
            <w:tcW w:w="2130" w:type="dxa"/>
            <w:tcBorders>
              <w:top w:val="nil"/>
              <w:left w:val="nil"/>
              <w:bottom w:val="single" w:sz="4" w:space="0" w:color="auto"/>
              <w:right w:val="single" w:sz="4" w:space="0" w:color="auto"/>
            </w:tcBorders>
            <w:shd w:val="clear" w:color="auto" w:fill="auto"/>
            <w:noWrap/>
            <w:vAlign w:val="bottom"/>
            <w:hideMark/>
          </w:tcPr>
          <w:p w14:paraId="5DA439AC"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0045532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82.18 </w:t>
            </w:r>
          </w:p>
        </w:tc>
      </w:tr>
      <w:tr w:rsidR="009C599E" w:rsidRPr="00AE034F" w14:paraId="07ED2FCF"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635D338"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July</w:t>
            </w:r>
          </w:p>
        </w:tc>
        <w:tc>
          <w:tcPr>
            <w:tcW w:w="2048" w:type="dxa"/>
            <w:tcBorders>
              <w:top w:val="nil"/>
              <w:left w:val="nil"/>
              <w:bottom w:val="single" w:sz="4" w:space="0" w:color="auto"/>
              <w:right w:val="single" w:sz="4" w:space="0" w:color="auto"/>
            </w:tcBorders>
            <w:shd w:val="clear" w:color="auto" w:fill="auto"/>
            <w:noWrap/>
            <w:vAlign w:val="bottom"/>
            <w:hideMark/>
          </w:tcPr>
          <w:p w14:paraId="59F4B6BA"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1,084.09</w:t>
            </w:r>
          </w:p>
        </w:tc>
        <w:tc>
          <w:tcPr>
            <w:tcW w:w="2130" w:type="dxa"/>
            <w:tcBorders>
              <w:top w:val="nil"/>
              <w:left w:val="nil"/>
              <w:bottom w:val="single" w:sz="4" w:space="0" w:color="auto"/>
              <w:right w:val="single" w:sz="4" w:space="0" w:color="auto"/>
            </w:tcBorders>
            <w:shd w:val="clear" w:color="auto" w:fill="auto"/>
            <w:noWrap/>
            <w:vAlign w:val="bottom"/>
            <w:hideMark/>
          </w:tcPr>
          <w:p w14:paraId="1C12DDEE"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1AD8BD91"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117.65 </w:t>
            </w:r>
          </w:p>
        </w:tc>
      </w:tr>
      <w:tr w:rsidR="009C599E" w:rsidRPr="00AE034F" w14:paraId="7FC90453"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14FBA4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August</w:t>
            </w:r>
          </w:p>
        </w:tc>
        <w:tc>
          <w:tcPr>
            <w:tcW w:w="2048" w:type="dxa"/>
            <w:tcBorders>
              <w:top w:val="nil"/>
              <w:left w:val="nil"/>
              <w:bottom w:val="single" w:sz="4" w:space="0" w:color="auto"/>
              <w:right w:val="single" w:sz="4" w:space="0" w:color="auto"/>
            </w:tcBorders>
            <w:shd w:val="clear" w:color="auto" w:fill="auto"/>
            <w:noWrap/>
            <w:vAlign w:val="bottom"/>
            <w:hideMark/>
          </w:tcPr>
          <w:p w14:paraId="5AAA9B86"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1,078.65</w:t>
            </w:r>
          </w:p>
        </w:tc>
        <w:tc>
          <w:tcPr>
            <w:tcW w:w="2130" w:type="dxa"/>
            <w:tcBorders>
              <w:top w:val="nil"/>
              <w:left w:val="nil"/>
              <w:bottom w:val="single" w:sz="4" w:space="0" w:color="auto"/>
              <w:right w:val="single" w:sz="4" w:space="0" w:color="auto"/>
            </w:tcBorders>
            <w:shd w:val="clear" w:color="auto" w:fill="auto"/>
            <w:noWrap/>
            <w:vAlign w:val="bottom"/>
            <w:hideMark/>
          </w:tcPr>
          <w:p w14:paraId="5E1D3A12"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2249AEF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122.56 </w:t>
            </w:r>
          </w:p>
        </w:tc>
      </w:tr>
      <w:tr w:rsidR="009C599E" w:rsidRPr="00AE034F" w14:paraId="319F9200"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5DB7EDDE"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September</w:t>
            </w:r>
          </w:p>
        </w:tc>
        <w:tc>
          <w:tcPr>
            <w:tcW w:w="2048" w:type="dxa"/>
            <w:tcBorders>
              <w:top w:val="nil"/>
              <w:left w:val="nil"/>
              <w:bottom w:val="single" w:sz="4" w:space="0" w:color="auto"/>
              <w:right w:val="single" w:sz="4" w:space="0" w:color="auto"/>
            </w:tcBorders>
            <w:shd w:val="clear" w:color="auto" w:fill="auto"/>
            <w:noWrap/>
            <w:vAlign w:val="bottom"/>
            <w:hideMark/>
          </w:tcPr>
          <w:p w14:paraId="742D587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1,204.16</w:t>
            </w:r>
          </w:p>
        </w:tc>
        <w:tc>
          <w:tcPr>
            <w:tcW w:w="2130" w:type="dxa"/>
            <w:tcBorders>
              <w:top w:val="nil"/>
              <w:left w:val="nil"/>
              <w:bottom w:val="single" w:sz="4" w:space="0" w:color="auto"/>
              <w:right w:val="single" w:sz="4" w:space="0" w:color="auto"/>
            </w:tcBorders>
            <w:shd w:val="clear" w:color="auto" w:fill="auto"/>
            <w:noWrap/>
            <w:vAlign w:val="bottom"/>
            <w:hideMark/>
          </w:tcPr>
          <w:p w14:paraId="0AA74F2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4F95670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131.58 </w:t>
            </w:r>
          </w:p>
        </w:tc>
      </w:tr>
      <w:tr w:rsidR="009C599E" w:rsidRPr="00AE034F" w14:paraId="68959964"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51B0E4E3"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October</w:t>
            </w:r>
          </w:p>
        </w:tc>
        <w:tc>
          <w:tcPr>
            <w:tcW w:w="2048" w:type="dxa"/>
            <w:tcBorders>
              <w:top w:val="nil"/>
              <w:left w:val="nil"/>
              <w:bottom w:val="single" w:sz="4" w:space="0" w:color="auto"/>
              <w:right w:val="single" w:sz="4" w:space="0" w:color="auto"/>
            </w:tcBorders>
            <w:shd w:val="clear" w:color="auto" w:fill="auto"/>
            <w:noWrap/>
            <w:vAlign w:val="bottom"/>
            <w:hideMark/>
          </w:tcPr>
          <w:p w14:paraId="0A49BEF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806.74</w:t>
            </w:r>
          </w:p>
        </w:tc>
        <w:tc>
          <w:tcPr>
            <w:tcW w:w="2130" w:type="dxa"/>
            <w:tcBorders>
              <w:top w:val="nil"/>
              <w:left w:val="nil"/>
              <w:bottom w:val="single" w:sz="4" w:space="0" w:color="auto"/>
              <w:right w:val="single" w:sz="4" w:space="0" w:color="auto"/>
            </w:tcBorders>
            <w:shd w:val="clear" w:color="auto" w:fill="auto"/>
            <w:noWrap/>
            <w:vAlign w:val="bottom"/>
            <w:hideMark/>
          </w:tcPr>
          <w:p w14:paraId="4A2FF627"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2D0309A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86.80 </w:t>
            </w:r>
          </w:p>
        </w:tc>
      </w:tr>
      <w:tr w:rsidR="009C599E" w:rsidRPr="00AE034F" w14:paraId="19476B51"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4E2A6FBD"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November</w:t>
            </w:r>
          </w:p>
        </w:tc>
        <w:tc>
          <w:tcPr>
            <w:tcW w:w="2048" w:type="dxa"/>
            <w:tcBorders>
              <w:top w:val="nil"/>
              <w:left w:val="nil"/>
              <w:bottom w:val="single" w:sz="4" w:space="0" w:color="auto"/>
              <w:right w:val="single" w:sz="4" w:space="0" w:color="auto"/>
            </w:tcBorders>
            <w:shd w:val="clear" w:color="auto" w:fill="auto"/>
            <w:noWrap/>
            <w:vAlign w:val="bottom"/>
            <w:hideMark/>
          </w:tcPr>
          <w:p w14:paraId="4D0D7A67"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511.82</w:t>
            </w:r>
          </w:p>
        </w:tc>
        <w:tc>
          <w:tcPr>
            <w:tcW w:w="2130" w:type="dxa"/>
            <w:tcBorders>
              <w:top w:val="nil"/>
              <w:left w:val="nil"/>
              <w:bottom w:val="single" w:sz="4" w:space="0" w:color="auto"/>
              <w:right w:val="single" w:sz="4" w:space="0" w:color="auto"/>
            </w:tcBorders>
            <w:shd w:val="clear" w:color="auto" w:fill="auto"/>
            <w:noWrap/>
            <w:vAlign w:val="bottom"/>
            <w:hideMark/>
          </w:tcPr>
          <w:p w14:paraId="191DABF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28</w:t>
            </w:r>
          </w:p>
        </w:tc>
        <w:tc>
          <w:tcPr>
            <w:tcW w:w="1172" w:type="dxa"/>
            <w:tcBorders>
              <w:top w:val="nil"/>
              <w:left w:val="nil"/>
              <w:bottom w:val="single" w:sz="4" w:space="0" w:color="auto"/>
              <w:right w:val="single" w:sz="4" w:space="0" w:color="auto"/>
            </w:tcBorders>
            <w:shd w:val="clear" w:color="auto" w:fill="auto"/>
            <w:noWrap/>
            <w:vAlign w:val="bottom"/>
            <w:hideMark/>
          </w:tcPr>
          <w:p w14:paraId="225B07D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55.09 </w:t>
            </w:r>
          </w:p>
        </w:tc>
      </w:tr>
      <w:tr w:rsidR="009C599E" w:rsidRPr="00AE034F" w14:paraId="21EEE9AD"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63ECB11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December</w:t>
            </w:r>
          </w:p>
        </w:tc>
        <w:tc>
          <w:tcPr>
            <w:tcW w:w="2048" w:type="dxa"/>
            <w:tcBorders>
              <w:top w:val="nil"/>
              <w:left w:val="nil"/>
              <w:bottom w:val="single" w:sz="4" w:space="0" w:color="auto"/>
              <w:right w:val="single" w:sz="4" w:space="0" w:color="auto"/>
            </w:tcBorders>
            <w:shd w:val="clear" w:color="auto" w:fill="auto"/>
            <w:noWrap/>
            <w:vAlign w:val="bottom"/>
            <w:hideMark/>
          </w:tcPr>
          <w:p w14:paraId="0A5338D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623.88</w:t>
            </w:r>
          </w:p>
        </w:tc>
        <w:tc>
          <w:tcPr>
            <w:tcW w:w="2130" w:type="dxa"/>
            <w:tcBorders>
              <w:top w:val="nil"/>
              <w:left w:val="nil"/>
              <w:bottom w:val="single" w:sz="4" w:space="0" w:color="auto"/>
              <w:right w:val="single" w:sz="4" w:space="0" w:color="auto"/>
            </w:tcBorders>
            <w:shd w:val="clear" w:color="auto" w:fill="auto"/>
            <w:noWrap/>
            <w:vAlign w:val="bottom"/>
            <w:hideMark/>
          </w:tcPr>
          <w:p w14:paraId="35B9713E"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263A342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68.34 </w:t>
            </w:r>
          </w:p>
        </w:tc>
      </w:tr>
      <w:tr w:rsidR="009C599E" w:rsidRPr="00AE034F" w14:paraId="3AEE300B" w14:textId="77777777" w:rsidTr="00173170">
        <w:trPr>
          <w:trHeight w:val="320"/>
        </w:trPr>
        <w:tc>
          <w:tcPr>
            <w:tcW w:w="1454" w:type="dxa"/>
            <w:tcBorders>
              <w:top w:val="nil"/>
              <w:left w:val="single" w:sz="4" w:space="0" w:color="auto"/>
              <w:bottom w:val="nil"/>
              <w:right w:val="single" w:sz="4" w:space="0" w:color="auto"/>
            </w:tcBorders>
            <w:shd w:val="clear" w:color="auto" w:fill="auto"/>
            <w:noWrap/>
            <w:vAlign w:val="bottom"/>
            <w:hideMark/>
          </w:tcPr>
          <w:p w14:paraId="658745D9" w14:textId="77777777" w:rsidR="009C599E" w:rsidRPr="00AE034F" w:rsidRDefault="009C599E" w:rsidP="00173170">
            <w:pPr>
              <w:spacing w:after="0" w:line="240" w:lineRule="auto"/>
              <w:rPr>
                <w:rFonts w:ascii="Calibri" w:eastAsia="Times New Roman" w:hAnsi="Calibri" w:cs="Times New Roman"/>
                <w:b/>
                <w:bCs/>
                <w:color w:val="000000"/>
                <w:lang w:eastAsia="en-CA"/>
              </w:rPr>
            </w:pPr>
            <w:r w:rsidRPr="00AE034F">
              <w:rPr>
                <w:rFonts w:ascii="Calibri" w:eastAsia="Times New Roman" w:hAnsi="Calibri" w:cs="Times New Roman"/>
                <w:b/>
                <w:bCs/>
                <w:color w:val="000000"/>
                <w:lang w:eastAsia="en-CA"/>
              </w:rPr>
              <w:t>Total</w:t>
            </w:r>
          </w:p>
        </w:tc>
        <w:tc>
          <w:tcPr>
            <w:tcW w:w="2048" w:type="dxa"/>
            <w:tcBorders>
              <w:top w:val="nil"/>
              <w:left w:val="nil"/>
              <w:bottom w:val="nil"/>
              <w:right w:val="single" w:sz="4" w:space="0" w:color="auto"/>
            </w:tcBorders>
            <w:shd w:val="clear" w:color="auto" w:fill="auto"/>
            <w:noWrap/>
            <w:vAlign w:val="bottom"/>
            <w:hideMark/>
          </w:tcPr>
          <w:p w14:paraId="118F71EC"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9,357.93</w:t>
            </w:r>
          </w:p>
        </w:tc>
        <w:tc>
          <w:tcPr>
            <w:tcW w:w="2130" w:type="dxa"/>
            <w:tcBorders>
              <w:top w:val="nil"/>
              <w:left w:val="nil"/>
              <w:bottom w:val="nil"/>
              <w:right w:val="single" w:sz="4" w:space="0" w:color="auto"/>
            </w:tcBorders>
            <w:shd w:val="clear" w:color="auto" w:fill="auto"/>
            <w:noWrap/>
            <w:vAlign w:val="bottom"/>
            <w:hideMark/>
          </w:tcPr>
          <w:p w14:paraId="47122747"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364</w:t>
            </w:r>
          </w:p>
        </w:tc>
        <w:tc>
          <w:tcPr>
            <w:tcW w:w="1172" w:type="dxa"/>
            <w:tcBorders>
              <w:top w:val="nil"/>
              <w:left w:val="nil"/>
              <w:bottom w:val="nil"/>
              <w:right w:val="single" w:sz="4" w:space="0" w:color="auto"/>
            </w:tcBorders>
            <w:shd w:val="clear" w:color="auto" w:fill="auto"/>
            <w:noWrap/>
            <w:vAlign w:val="bottom"/>
            <w:hideMark/>
          </w:tcPr>
          <w:p w14:paraId="1E799FA5"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 xml:space="preserve"> $    998.87 </w:t>
            </w:r>
          </w:p>
        </w:tc>
      </w:tr>
    </w:tbl>
    <w:p w14:paraId="5EB5EB30" w14:textId="77777777" w:rsidR="009C599E" w:rsidRDefault="009C599E" w:rsidP="009C599E">
      <w:r>
        <w:fldChar w:fldCharType="end"/>
      </w:r>
    </w:p>
    <w:p w14:paraId="040C7E70" w14:textId="77777777" w:rsidR="009C599E" w:rsidRDefault="009C599E" w:rsidP="009C599E"/>
    <w:p w14:paraId="6E5B34AC" w14:textId="1CC87D40" w:rsidR="009C599E" w:rsidRDefault="006B3FE0" w:rsidP="009C599E">
      <w:bookmarkStart w:id="0" w:name="_GoBack"/>
      <w:r>
        <w:rPr>
          <w:noProof/>
          <w:lang w:val="en-US"/>
        </w:rPr>
        <w:lastRenderedPageBreak/>
        <w:drawing>
          <wp:inline distT="0" distB="0" distL="0" distR="0" wp14:anchorId="5EE5A639" wp14:editId="1915F830">
            <wp:extent cx="4651169" cy="3727161"/>
            <wp:effectExtent l="0" t="0" r="16510" b="260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r w:rsidR="00DE07CE">
        <w:br w:type="textWrapping" w:clear="all"/>
      </w:r>
    </w:p>
    <w:p w14:paraId="3C00AE35" w14:textId="77777777" w:rsidR="009C599E" w:rsidRDefault="009C599E" w:rsidP="009C599E"/>
    <w:p w14:paraId="01280DAF" w14:textId="77777777" w:rsidR="009C599E" w:rsidRDefault="009C599E" w:rsidP="009C599E"/>
    <w:p w14:paraId="78A1B1A9" w14:textId="77777777" w:rsidR="009C599E" w:rsidRDefault="009C599E" w:rsidP="009C599E"/>
    <w:tbl>
      <w:tblPr>
        <w:tblpPr w:leftFromText="180" w:rightFromText="180" w:vertAnchor="text" w:horzAnchor="margin" w:tblpY="191"/>
        <w:tblW w:w="5868" w:type="dxa"/>
        <w:tblLook w:val="04A0" w:firstRow="1" w:lastRow="0" w:firstColumn="1" w:lastColumn="0" w:noHBand="0" w:noVBand="1"/>
      </w:tblPr>
      <w:tblGrid>
        <w:gridCol w:w="1201"/>
        <w:gridCol w:w="1517"/>
        <w:gridCol w:w="3150"/>
      </w:tblGrid>
      <w:tr w:rsidR="009C599E" w:rsidRPr="001A78E4" w14:paraId="4DACAEBF" w14:textId="77777777" w:rsidTr="00DA60C5">
        <w:trPr>
          <w:trHeight w:val="299"/>
        </w:trPr>
        <w:tc>
          <w:tcPr>
            <w:tcW w:w="5868" w:type="dxa"/>
            <w:gridSpan w:val="3"/>
            <w:tcBorders>
              <w:top w:val="nil"/>
              <w:left w:val="nil"/>
              <w:bottom w:val="single" w:sz="4" w:space="0" w:color="auto"/>
              <w:right w:val="nil"/>
            </w:tcBorders>
            <w:shd w:val="clear" w:color="auto" w:fill="auto"/>
            <w:noWrap/>
            <w:vAlign w:val="bottom"/>
            <w:hideMark/>
          </w:tcPr>
          <w:p w14:paraId="6E299E59" w14:textId="77777777" w:rsidR="009C599E" w:rsidRPr="001A78E4" w:rsidRDefault="009C599E" w:rsidP="00173170">
            <w:pPr>
              <w:rPr>
                <w:b/>
                <w:bCs/>
              </w:rPr>
            </w:pPr>
            <w:r w:rsidRPr="001A78E4">
              <w:rPr>
                <w:b/>
                <w:bCs/>
              </w:rPr>
              <w:t>Natural Gas</w:t>
            </w:r>
          </w:p>
        </w:tc>
      </w:tr>
      <w:tr w:rsidR="009C599E" w:rsidRPr="001A78E4" w14:paraId="6E437D6D" w14:textId="77777777" w:rsidTr="00DA60C5">
        <w:trPr>
          <w:trHeight w:val="314"/>
        </w:trPr>
        <w:tc>
          <w:tcPr>
            <w:tcW w:w="58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8BD4F" w14:textId="77777777" w:rsidR="009C599E" w:rsidRPr="001A78E4" w:rsidRDefault="009C599E" w:rsidP="00173170">
            <w:pPr>
              <w:rPr>
                <w:b/>
                <w:bCs/>
              </w:rPr>
            </w:pPr>
            <w:r w:rsidRPr="001A78E4">
              <w:rPr>
                <w:b/>
                <w:bCs/>
              </w:rPr>
              <w:t>2016 Data</w:t>
            </w:r>
          </w:p>
        </w:tc>
      </w:tr>
      <w:tr w:rsidR="009C599E" w:rsidRPr="001A78E4" w14:paraId="0068F290" w14:textId="77777777" w:rsidTr="00DA60C5">
        <w:trPr>
          <w:trHeight w:val="762"/>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2E2FB702" w14:textId="77777777" w:rsidR="009C599E" w:rsidRPr="001A78E4" w:rsidRDefault="009C599E" w:rsidP="00173170">
            <w:r w:rsidRPr="001A78E4">
              <w:t>M3</w:t>
            </w:r>
          </w:p>
        </w:tc>
        <w:tc>
          <w:tcPr>
            <w:tcW w:w="1517" w:type="dxa"/>
            <w:tcBorders>
              <w:top w:val="nil"/>
              <w:left w:val="nil"/>
              <w:bottom w:val="single" w:sz="4" w:space="0" w:color="auto"/>
              <w:right w:val="single" w:sz="4" w:space="0" w:color="auto"/>
            </w:tcBorders>
            <w:shd w:val="clear" w:color="auto" w:fill="auto"/>
            <w:vAlign w:val="center"/>
            <w:hideMark/>
          </w:tcPr>
          <w:p w14:paraId="778C9DAB" w14:textId="77777777" w:rsidR="009C599E" w:rsidRPr="001A78E4" w:rsidRDefault="009C599E" w:rsidP="00173170">
            <w:r w:rsidRPr="001A78E4">
              <w:t>Billing # of Days</w:t>
            </w:r>
          </w:p>
        </w:tc>
        <w:tc>
          <w:tcPr>
            <w:tcW w:w="3150" w:type="dxa"/>
            <w:tcBorders>
              <w:top w:val="nil"/>
              <w:left w:val="nil"/>
              <w:bottom w:val="single" w:sz="4" w:space="0" w:color="auto"/>
              <w:right w:val="single" w:sz="4" w:space="0" w:color="auto"/>
            </w:tcBorders>
            <w:shd w:val="clear" w:color="auto" w:fill="auto"/>
            <w:vAlign w:val="center"/>
            <w:hideMark/>
          </w:tcPr>
          <w:p w14:paraId="68899012" w14:textId="77777777" w:rsidR="009C599E" w:rsidRPr="001A78E4" w:rsidRDefault="009C599E" w:rsidP="00173170">
            <w:r w:rsidRPr="001A78E4">
              <w:t>Total before Charges</w:t>
            </w:r>
          </w:p>
        </w:tc>
      </w:tr>
      <w:tr w:rsidR="009C599E" w:rsidRPr="001A78E4" w14:paraId="275C2D49"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52E20A1" w14:textId="77777777" w:rsidR="009C599E" w:rsidRPr="001A78E4" w:rsidRDefault="009C599E" w:rsidP="00173170">
            <w:r w:rsidRPr="001A78E4">
              <w:t>354</w:t>
            </w:r>
          </w:p>
        </w:tc>
        <w:tc>
          <w:tcPr>
            <w:tcW w:w="1517" w:type="dxa"/>
            <w:tcBorders>
              <w:top w:val="nil"/>
              <w:left w:val="nil"/>
              <w:bottom w:val="single" w:sz="4" w:space="0" w:color="auto"/>
              <w:right w:val="single" w:sz="4" w:space="0" w:color="auto"/>
            </w:tcBorders>
            <w:shd w:val="clear" w:color="auto" w:fill="auto"/>
            <w:noWrap/>
            <w:vAlign w:val="bottom"/>
            <w:hideMark/>
          </w:tcPr>
          <w:p w14:paraId="65A6A1AB"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44951BE6" w14:textId="77777777" w:rsidR="009C599E" w:rsidRPr="001A78E4" w:rsidRDefault="009C599E" w:rsidP="00173170">
            <w:r w:rsidRPr="001A78E4">
              <w:t xml:space="preserve"> $                 37.96 </w:t>
            </w:r>
          </w:p>
        </w:tc>
      </w:tr>
      <w:tr w:rsidR="009C599E" w:rsidRPr="001A78E4" w14:paraId="7EC4179E"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1641FE1F" w14:textId="77777777" w:rsidR="009C599E" w:rsidRPr="001A78E4" w:rsidRDefault="009C599E" w:rsidP="00173170">
            <w:r w:rsidRPr="001A78E4">
              <w:t>438</w:t>
            </w:r>
          </w:p>
        </w:tc>
        <w:tc>
          <w:tcPr>
            <w:tcW w:w="1517" w:type="dxa"/>
            <w:tcBorders>
              <w:top w:val="nil"/>
              <w:left w:val="nil"/>
              <w:bottom w:val="single" w:sz="4" w:space="0" w:color="auto"/>
              <w:right w:val="single" w:sz="4" w:space="0" w:color="auto"/>
            </w:tcBorders>
            <w:shd w:val="clear" w:color="auto" w:fill="auto"/>
            <w:noWrap/>
            <w:vAlign w:val="bottom"/>
            <w:hideMark/>
          </w:tcPr>
          <w:p w14:paraId="7CBEB25E"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3ACDA873" w14:textId="77777777" w:rsidR="009C599E" w:rsidRPr="001A78E4" w:rsidRDefault="009C599E" w:rsidP="00173170">
            <w:r w:rsidRPr="001A78E4">
              <w:t xml:space="preserve"> $                 46.55 </w:t>
            </w:r>
          </w:p>
        </w:tc>
      </w:tr>
      <w:tr w:rsidR="009C599E" w:rsidRPr="001A78E4" w14:paraId="236494F4"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43CB126B" w14:textId="77777777" w:rsidR="009C599E" w:rsidRPr="001A78E4" w:rsidRDefault="009C599E" w:rsidP="00173170">
            <w:r w:rsidRPr="001A78E4">
              <w:t>275</w:t>
            </w:r>
          </w:p>
        </w:tc>
        <w:tc>
          <w:tcPr>
            <w:tcW w:w="1517" w:type="dxa"/>
            <w:tcBorders>
              <w:top w:val="nil"/>
              <w:left w:val="nil"/>
              <w:bottom w:val="single" w:sz="4" w:space="0" w:color="auto"/>
              <w:right w:val="single" w:sz="4" w:space="0" w:color="auto"/>
            </w:tcBorders>
            <w:shd w:val="clear" w:color="auto" w:fill="auto"/>
            <w:noWrap/>
            <w:vAlign w:val="bottom"/>
            <w:hideMark/>
          </w:tcPr>
          <w:p w14:paraId="608E5CD3" w14:textId="77777777" w:rsidR="009C599E" w:rsidRPr="001A78E4" w:rsidRDefault="009C599E" w:rsidP="00173170">
            <w:r w:rsidRPr="001A78E4">
              <w:t>29</w:t>
            </w:r>
          </w:p>
        </w:tc>
        <w:tc>
          <w:tcPr>
            <w:tcW w:w="3150" w:type="dxa"/>
            <w:tcBorders>
              <w:top w:val="nil"/>
              <w:left w:val="nil"/>
              <w:bottom w:val="single" w:sz="4" w:space="0" w:color="auto"/>
              <w:right w:val="single" w:sz="4" w:space="0" w:color="auto"/>
            </w:tcBorders>
            <w:shd w:val="clear" w:color="auto" w:fill="auto"/>
            <w:noWrap/>
            <w:vAlign w:val="bottom"/>
            <w:hideMark/>
          </w:tcPr>
          <w:p w14:paraId="508BEF35" w14:textId="77777777" w:rsidR="009C599E" w:rsidRPr="001A78E4" w:rsidRDefault="009C599E" w:rsidP="00173170">
            <w:r w:rsidRPr="001A78E4">
              <w:t xml:space="preserve"> $                 29.18 </w:t>
            </w:r>
          </w:p>
        </w:tc>
      </w:tr>
      <w:tr w:rsidR="009C599E" w:rsidRPr="001A78E4" w14:paraId="676E6546"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64B3202B" w14:textId="77777777" w:rsidR="009C599E" w:rsidRPr="001A78E4" w:rsidRDefault="009C599E" w:rsidP="00173170">
            <w:r w:rsidRPr="001A78E4">
              <w:t>427</w:t>
            </w:r>
          </w:p>
        </w:tc>
        <w:tc>
          <w:tcPr>
            <w:tcW w:w="1517" w:type="dxa"/>
            <w:tcBorders>
              <w:top w:val="nil"/>
              <w:left w:val="nil"/>
              <w:bottom w:val="single" w:sz="4" w:space="0" w:color="auto"/>
              <w:right w:val="single" w:sz="4" w:space="0" w:color="auto"/>
            </w:tcBorders>
            <w:shd w:val="clear" w:color="auto" w:fill="auto"/>
            <w:noWrap/>
            <w:vAlign w:val="bottom"/>
            <w:hideMark/>
          </w:tcPr>
          <w:p w14:paraId="46E5EF0E" w14:textId="77777777" w:rsidR="009C599E" w:rsidRPr="001A78E4" w:rsidRDefault="009C599E" w:rsidP="00173170">
            <w:r w:rsidRPr="001A78E4">
              <w:t>33</w:t>
            </w:r>
          </w:p>
        </w:tc>
        <w:tc>
          <w:tcPr>
            <w:tcW w:w="3150" w:type="dxa"/>
            <w:tcBorders>
              <w:top w:val="nil"/>
              <w:left w:val="nil"/>
              <w:bottom w:val="single" w:sz="4" w:space="0" w:color="auto"/>
              <w:right w:val="single" w:sz="4" w:space="0" w:color="auto"/>
            </w:tcBorders>
            <w:shd w:val="clear" w:color="auto" w:fill="auto"/>
            <w:noWrap/>
            <w:vAlign w:val="bottom"/>
            <w:hideMark/>
          </w:tcPr>
          <w:p w14:paraId="7E10D954" w14:textId="77777777" w:rsidR="009C599E" w:rsidRPr="001A78E4" w:rsidRDefault="009C599E" w:rsidP="00173170">
            <w:r w:rsidRPr="001A78E4">
              <w:t xml:space="preserve"> $                 39.71 </w:t>
            </w:r>
          </w:p>
        </w:tc>
      </w:tr>
      <w:tr w:rsidR="009C599E" w:rsidRPr="001A78E4" w14:paraId="5B153E76"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11300EB7" w14:textId="77777777" w:rsidR="009C599E" w:rsidRPr="001A78E4" w:rsidRDefault="009C599E" w:rsidP="00173170">
            <w:r w:rsidRPr="001A78E4">
              <w:t>44</w:t>
            </w:r>
          </w:p>
        </w:tc>
        <w:tc>
          <w:tcPr>
            <w:tcW w:w="1517" w:type="dxa"/>
            <w:tcBorders>
              <w:top w:val="nil"/>
              <w:left w:val="nil"/>
              <w:bottom w:val="single" w:sz="4" w:space="0" w:color="auto"/>
              <w:right w:val="single" w:sz="4" w:space="0" w:color="auto"/>
            </w:tcBorders>
            <w:shd w:val="clear" w:color="auto" w:fill="auto"/>
            <w:noWrap/>
            <w:vAlign w:val="bottom"/>
            <w:hideMark/>
          </w:tcPr>
          <w:p w14:paraId="7BB1459D"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5AC88EA5" w14:textId="7A1E5381" w:rsidR="009C599E" w:rsidRPr="001A78E4" w:rsidRDefault="009C599E" w:rsidP="00173170">
            <w:r w:rsidRPr="001A78E4">
              <w:t xml:space="preserve"> $                   4.04 </w:t>
            </w:r>
          </w:p>
        </w:tc>
      </w:tr>
      <w:tr w:rsidR="009C599E" w:rsidRPr="001A78E4" w14:paraId="02D314D3"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90A0BA2" w14:textId="77777777" w:rsidR="009C599E" w:rsidRPr="001A78E4" w:rsidRDefault="009C599E" w:rsidP="00173170">
            <w:r w:rsidRPr="001A78E4">
              <w:lastRenderedPageBreak/>
              <w:t>503</w:t>
            </w:r>
          </w:p>
        </w:tc>
        <w:tc>
          <w:tcPr>
            <w:tcW w:w="1517" w:type="dxa"/>
            <w:tcBorders>
              <w:top w:val="nil"/>
              <w:left w:val="nil"/>
              <w:bottom w:val="single" w:sz="4" w:space="0" w:color="auto"/>
              <w:right w:val="single" w:sz="4" w:space="0" w:color="auto"/>
            </w:tcBorders>
            <w:shd w:val="clear" w:color="auto" w:fill="auto"/>
            <w:noWrap/>
            <w:vAlign w:val="bottom"/>
            <w:hideMark/>
          </w:tcPr>
          <w:p w14:paraId="716D2CBA"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0459C479" w14:textId="77777777" w:rsidR="009C599E" w:rsidRPr="001A78E4" w:rsidRDefault="009C599E" w:rsidP="00173170">
            <w:r w:rsidRPr="001A78E4">
              <w:t xml:space="preserve"> $                 46.52 </w:t>
            </w:r>
          </w:p>
        </w:tc>
      </w:tr>
      <w:tr w:rsidR="009C599E" w:rsidRPr="001A78E4" w14:paraId="17BD03B5"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76D2A556" w14:textId="77777777" w:rsidR="009C599E" w:rsidRPr="001A78E4" w:rsidRDefault="009C599E" w:rsidP="00173170">
            <w:r w:rsidRPr="001A78E4">
              <w:t>123</w:t>
            </w:r>
          </w:p>
        </w:tc>
        <w:tc>
          <w:tcPr>
            <w:tcW w:w="1517" w:type="dxa"/>
            <w:tcBorders>
              <w:top w:val="nil"/>
              <w:left w:val="nil"/>
              <w:bottom w:val="single" w:sz="4" w:space="0" w:color="auto"/>
              <w:right w:val="single" w:sz="4" w:space="0" w:color="auto"/>
            </w:tcBorders>
            <w:shd w:val="clear" w:color="auto" w:fill="auto"/>
            <w:noWrap/>
            <w:vAlign w:val="bottom"/>
            <w:hideMark/>
          </w:tcPr>
          <w:p w14:paraId="0A1DC76A"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3377D898" w14:textId="77777777" w:rsidR="009C599E" w:rsidRPr="001A78E4" w:rsidRDefault="009C599E" w:rsidP="00173170">
            <w:r w:rsidRPr="001A78E4">
              <w:t xml:space="preserve"> $                 11.88 </w:t>
            </w:r>
          </w:p>
        </w:tc>
      </w:tr>
      <w:tr w:rsidR="009C599E" w:rsidRPr="001A78E4" w14:paraId="471B08C8"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4943EAFB" w14:textId="77777777" w:rsidR="009C599E" w:rsidRPr="001A78E4" w:rsidRDefault="009C599E" w:rsidP="00173170">
            <w:r w:rsidRPr="001A78E4">
              <w:t>461</w:t>
            </w:r>
          </w:p>
        </w:tc>
        <w:tc>
          <w:tcPr>
            <w:tcW w:w="1517" w:type="dxa"/>
            <w:tcBorders>
              <w:top w:val="nil"/>
              <w:left w:val="nil"/>
              <w:bottom w:val="single" w:sz="4" w:space="0" w:color="auto"/>
              <w:right w:val="single" w:sz="4" w:space="0" w:color="auto"/>
            </w:tcBorders>
            <w:shd w:val="clear" w:color="auto" w:fill="auto"/>
            <w:noWrap/>
            <w:vAlign w:val="bottom"/>
            <w:hideMark/>
          </w:tcPr>
          <w:p w14:paraId="4D9A69D0"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37DA271B" w14:textId="77777777" w:rsidR="009C599E" w:rsidRPr="001A78E4" w:rsidRDefault="009C599E" w:rsidP="00173170">
            <w:r w:rsidRPr="001A78E4">
              <w:t xml:space="preserve"> $                 44.77 </w:t>
            </w:r>
          </w:p>
        </w:tc>
      </w:tr>
      <w:tr w:rsidR="009C599E" w:rsidRPr="001A78E4" w14:paraId="50E75A7A"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732CAF8E" w14:textId="77777777" w:rsidR="009C599E" w:rsidRPr="001A78E4" w:rsidRDefault="009C599E" w:rsidP="00173170">
            <w:r w:rsidRPr="001A78E4">
              <w:t>481</w:t>
            </w:r>
          </w:p>
        </w:tc>
        <w:tc>
          <w:tcPr>
            <w:tcW w:w="1517" w:type="dxa"/>
            <w:tcBorders>
              <w:top w:val="nil"/>
              <w:left w:val="nil"/>
              <w:bottom w:val="single" w:sz="4" w:space="0" w:color="auto"/>
              <w:right w:val="single" w:sz="4" w:space="0" w:color="auto"/>
            </w:tcBorders>
            <w:shd w:val="clear" w:color="auto" w:fill="auto"/>
            <w:noWrap/>
            <w:vAlign w:val="bottom"/>
            <w:hideMark/>
          </w:tcPr>
          <w:p w14:paraId="1457BEB1"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053B598E" w14:textId="77777777" w:rsidR="009C599E" w:rsidRPr="001A78E4" w:rsidRDefault="009C599E" w:rsidP="00173170">
            <w:r w:rsidRPr="001A78E4">
              <w:t xml:space="preserve"> $                 46.69 </w:t>
            </w:r>
          </w:p>
        </w:tc>
      </w:tr>
      <w:tr w:rsidR="009C599E" w:rsidRPr="001A78E4" w14:paraId="61B80C0D"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686D582" w14:textId="77777777" w:rsidR="009C599E" w:rsidRPr="001A78E4" w:rsidRDefault="009C599E" w:rsidP="00173170">
            <w:r w:rsidRPr="001A78E4">
              <w:t>192</w:t>
            </w:r>
          </w:p>
        </w:tc>
        <w:tc>
          <w:tcPr>
            <w:tcW w:w="1517" w:type="dxa"/>
            <w:tcBorders>
              <w:top w:val="nil"/>
              <w:left w:val="nil"/>
              <w:bottom w:val="single" w:sz="4" w:space="0" w:color="auto"/>
              <w:right w:val="single" w:sz="4" w:space="0" w:color="auto"/>
            </w:tcBorders>
            <w:shd w:val="clear" w:color="auto" w:fill="auto"/>
            <w:noWrap/>
            <w:vAlign w:val="bottom"/>
            <w:hideMark/>
          </w:tcPr>
          <w:p w14:paraId="0DB9B83E"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28DDD819" w14:textId="77777777" w:rsidR="009C599E" w:rsidRPr="001A78E4" w:rsidRDefault="009C599E" w:rsidP="00173170">
            <w:r w:rsidRPr="001A78E4">
              <w:t xml:space="preserve"> $                 21.37 </w:t>
            </w:r>
          </w:p>
        </w:tc>
      </w:tr>
      <w:tr w:rsidR="009C599E" w:rsidRPr="001A78E4" w14:paraId="7B126462"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6CB327CF" w14:textId="77777777" w:rsidR="009C599E" w:rsidRPr="001A78E4" w:rsidRDefault="009C599E" w:rsidP="00173170">
            <w:r w:rsidRPr="001A78E4">
              <w:t>251</w:t>
            </w:r>
          </w:p>
        </w:tc>
        <w:tc>
          <w:tcPr>
            <w:tcW w:w="1517" w:type="dxa"/>
            <w:tcBorders>
              <w:top w:val="nil"/>
              <w:left w:val="nil"/>
              <w:bottom w:val="single" w:sz="4" w:space="0" w:color="auto"/>
              <w:right w:val="single" w:sz="4" w:space="0" w:color="auto"/>
            </w:tcBorders>
            <w:shd w:val="clear" w:color="auto" w:fill="auto"/>
            <w:noWrap/>
            <w:vAlign w:val="bottom"/>
            <w:hideMark/>
          </w:tcPr>
          <w:p w14:paraId="300B2F47"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38219308" w14:textId="77777777" w:rsidR="009C599E" w:rsidRPr="001A78E4" w:rsidRDefault="009C599E" w:rsidP="00173170">
            <w:r w:rsidRPr="001A78E4">
              <w:t xml:space="preserve"> $                 28.28 </w:t>
            </w:r>
          </w:p>
        </w:tc>
      </w:tr>
      <w:tr w:rsidR="009C599E" w:rsidRPr="001A78E4" w14:paraId="65D099E0"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0BA1F293" w14:textId="77777777" w:rsidR="009C599E" w:rsidRPr="001A78E4" w:rsidRDefault="009C599E" w:rsidP="00173170">
            <w:r w:rsidRPr="001A78E4">
              <w:t>355</w:t>
            </w:r>
          </w:p>
        </w:tc>
        <w:tc>
          <w:tcPr>
            <w:tcW w:w="1517" w:type="dxa"/>
            <w:tcBorders>
              <w:top w:val="nil"/>
              <w:left w:val="nil"/>
              <w:bottom w:val="single" w:sz="4" w:space="0" w:color="auto"/>
              <w:right w:val="single" w:sz="4" w:space="0" w:color="auto"/>
            </w:tcBorders>
            <w:shd w:val="clear" w:color="auto" w:fill="auto"/>
            <w:noWrap/>
            <w:vAlign w:val="bottom"/>
            <w:hideMark/>
          </w:tcPr>
          <w:p w14:paraId="5EE3A553" w14:textId="77777777" w:rsidR="009C599E" w:rsidRPr="001A78E4" w:rsidRDefault="009C599E" w:rsidP="00173170">
            <w:r w:rsidRPr="001A78E4">
              <w:t>29</w:t>
            </w:r>
          </w:p>
        </w:tc>
        <w:tc>
          <w:tcPr>
            <w:tcW w:w="3150" w:type="dxa"/>
            <w:tcBorders>
              <w:top w:val="nil"/>
              <w:left w:val="nil"/>
              <w:bottom w:val="single" w:sz="4" w:space="0" w:color="auto"/>
              <w:right w:val="single" w:sz="4" w:space="0" w:color="auto"/>
            </w:tcBorders>
            <w:shd w:val="clear" w:color="auto" w:fill="auto"/>
            <w:noWrap/>
            <w:vAlign w:val="bottom"/>
            <w:hideMark/>
          </w:tcPr>
          <w:p w14:paraId="5E4A5CA2" w14:textId="77777777" w:rsidR="009C599E" w:rsidRPr="001A78E4" w:rsidRDefault="009C599E" w:rsidP="00173170">
            <w:r w:rsidRPr="001A78E4">
              <w:t xml:space="preserve"> $                 40.02 </w:t>
            </w:r>
          </w:p>
        </w:tc>
      </w:tr>
      <w:tr w:rsidR="009C599E" w:rsidRPr="001A78E4" w14:paraId="3D667325"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0EAC1D37" w14:textId="77777777" w:rsidR="009C599E" w:rsidRPr="001A78E4" w:rsidRDefault="009C599E" w:rsidP="00173170">
            <w:pPr>
              <w:rPr>
                <w:b/>
                <w:bCs/>
              </w:rPr>
            </w:pPr>
            <w:r w:rsidRPr="001A78E4">
              <w:rPr>
                <w:b/>
                <w:bCs/>
              </w:rPr>
              <w:t>3904</w:t>
            </w:r>
          </w:p>
        </w:tc>
        <w:tc>
          <w:tcPr>
            <w:tcW w:w="1517" w:type="dxa"/>
            <w:tcBorders>
              <w:top w:val="nil"/>
              <w:left w:val="nil"/>
              <w:bottom w:val="single" w:sz="4" w:space="0" w:color="auto"/>
              <w:right w:val="single" w:sz="4" w:space="0" w:color="auto"/>
            </w:tcBorders>
            <w:shd w:val="clear" w:color="auto" w:fill="auto"/>
            <w:noWrap/>
            <w:vAlign w:val="bottom"/>
            <w:hideMark/>
          </w:tcPr>
          <w:p w14:paraId="7BE97D9A" w14:textId="77777777" w:rsidR="009C599E" w:rsidRPr="001A78E4" w:rsidRDefault="009C599E" w:rsidP="00173170">
            <w:pPr>
              <w:rPr>
                <w:b/>
                <w:bCs/>
              </w:rPr>
            </w:pPr>
            <w:r w:rsidRPr="001A78E4">
              <w:rPr>
                <w:b/>
                <w:bCs/>
              </w:rPr>
              <w:t>358</w:t>
            </w:r>
          </w:p>
        </w:tc>
        <w:tc>
          <w:tcPr>
            <w:tcW w:w="3150" w:type="dxa"/>
            <w:tcBorders>
              <w:top w:val="nil"/>
              <w:left w:val="nil"/>
              <w:bottom w:val="single" w:sz="4" w:space="0" w:color="auto"/>
              <w:right w:val="single" w:sz="4" w:space="0" w:color="auto"/>
            </w:tcBorders>
            <w:shd w:val="clear" w:color="auto" w:fill="auto"/>
            <w:noWrap/>
            <w:vAlign w:val="bottom"/>
            <w:hideMark/>
          </w:tcPr>
          <w:p w14:paraId="478466BE" w14:textId="77777777" w:rsidR="009C599E" w:rsidRPr="001A78E4" w:rsidRDefault="009C599E" w:rsidP="00173170">
            <w:pPr>
              <w:rPr>
                <w:b/>
                <w:bCs/>
              </w:rPr>
            </w:pPr>
            <w:r w:rsidRPr="001A78E4">
              <w:rPr>
                <w:b/>
                <w:bCs/>
              </w:rPr>
              <w:t xml:space="preserve"> $              396.97 </w:t>
            </w:r>
          </w:p>
        </w:tc>
      </w:tr>
    </w:tbl>
    <w:p w14:paraId="1E5C3067" w14:textId="77777777" w:rsidR="009C599E" w:rsidRDefault="009C599E" w:rsidP="009C599E"/>
    <w:p w14:paraId="51B9B0B7" w14:textId="77777777" w:rsidR="009C599E" w:rsidRDefault="009C599E" w:rsidP="009C599E"/>
    <w:p w14:paraId="5BBD3964" w14:textId="77777777" w:rsidR="009C599E" w:rsidRDefault="009C599E" w:rsidP="009C599E"/>
    <w:p w14:paraId="054F942A" w14:textId="77777777" w:rsidR="009C599E" w:rsidRDefault="009C599E" w:rsidP="009C599E">
      <w:r>
        <w:t xml:space="preserve">Using a combination of utility bill analysis, equipment nameplate information, and RETScreen 4.1, an estimate the energy consumption of individual end-uses was developed: </w:t>
      </w:r>
    </w:p>
    <w:p w14:paraId="58F3B2C6" w14:textId="7FBE4DE0" w:rsidR="009C599E" w:rsidRDefault="009C599E" w:rsidP="009C599E">
      <w:pPr>
        <w:jc w:val="center"/>
      </w:pPr>
    </w:p>
    <w:p w14:paraId="181E3385" w14:textId="77777777" w:rsidR="009C599E" w:rsidRDefault="009C599E" w:rsidP="009C599E">
      <w:pPr>
        <w:jc w:val="center"/>
      </w:pPr>
    </w:p>
    <w:p w14:paraId="0BB12E8A" w14:textId="77777777" w:rsidR="006B3FE0" w:rsidRDefault="006B3FE0" w:rsidP="009C599E">
      <w:pPr>
        <w:jc w:val="center"/>
      </w:pPr>
    </w:p>
    <w:p w14:paraId="275329BE" w14:textId="77777777" w:rsidR="006B3FE0" w:rsidRDefault="006B3FE0" w:rsidP="009C599E">
      <w:pPr>
        <w:jc w:val="center"/>
      </w:pPr>
    </w:p>
    <w:p w14:paraId="3C752E0C" w14:textId="77777777" w:rsidR="006B3FE0" w:rsidRDefault="006B3FE0" w:rsidP="009C599E">
      <w:pPr>
        <w:jc w:val="center"/>
      </w:pPr>
    </w:p>
    <w:p w14:paraId="76745BE5" w14:textId="77777777" w:rsidR="006B3FE0" w:rsidRDefault="006B3FE0" w:rsidP="009C599E">
      <w:pPr>
        <w:jc w:val="center"/>
      </w:pPr>
    </w:p>
    <w:p w14:paraId="68F662B7" w14:textId="73C8BBDB" w:rsidR="006B3FE0" w:rsidRDefault="006B3FE0" w:rsidP="009C599E">
      <w:pPr>
        <w:jc w:val="center"/>
      </w:pPr>
      <w:r>
        <w:rPr>
          <w:noProof/>
          <w:lang w:val="en-US"/>
        </w:rPr>
        <w:drawing>
          <wp:inline distT="0" distB="0" distL="0" distR="0" wp14:anchorId="76DBB897" wp14:editId="777AF6B7">
            <wp:extent cx="4651169" cy="3727161"/>
            <wp:effectExtent l="0" t="0" r="16510" b="2603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AB23C5" w14:textId="77777777" w:rsidR="009C599E" w:rsidRDefault="009C599E" w:rsidP="009776E9">
      <w:pPr>
        <w:pStyle w:val="Heading1"/>
      </w:pPr>
      <w:r>
        <w:br w:type="page"/>
      </w:r>
      <w:r>
        <w:rPr>
          <w:noProof/>
          <w:lang w:val="en-US"/>
        </w:rPr>
        <w:lastRenderedPageBreak/>
        <w:drawing>
          <wp:inline distT="0" distB="0" distL="0" distR="0" wp14:anchorId="7E50005F" wp14:editId="125E2AAC">
            <wp:extent cx="5943600" cy="3720465"/>
            <wp:effectExtent l="0" t="0" r="19050" b="13335"/>
            <wp:docPr id="13" name="Chart 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noProof/>
          <w:lang w:val="en-US"/>
        </w:rPr>
        <w:drawing>
          <wp:inline distT="0" distB="0" distL="0" distR="0" wp14:anchorId="392FE7F9" wp14:editId="2E134E4B">
            <wp:extent cx="5943600" cy="3428365"/>
            <wp:effectExtent l="0" t="0" r="19050" b="19685"/>
            <wp:docPr id="12" name="Chart 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DE07CE">
        <w:rPr>
          <w:noProof/>
          <w:lang w:val="en-US"/>
        </w:rPr>
        <w:lastRenderedPageBreak/>
        <w:drawing>
          <wp:inline distT="0" distB="0" distL="0" distR="0" wp14:anchorId="0AFFBE6F" wp14:editId="2AE8191F">
            <wp:extent cx="5943600" cy="5387804"/>
            <wp:effectExtent l="0" t="0" r="19050" b="22860"/>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882E16" w14:textId="77777777" w:rsidR="009C599E" w:rsidRDefault="009C599E" w:rsidP="009C599E">
      <w:pPr>
        <w:pStyle w:val="Heading1"/>
      </w:pPr>
    </w:p>
    <w:p w14:paraId="245CBC97" w14:textId="77777777" w:rsidR="009C599E" w:rsidRPr="00DA60C5" w:rsidRDefault="009C599E" w:rsidP="009C599E">
      <w:pPr>
        <w:pStyle w:val="Heading1"/>
        <w:rPr>
          <w:color w:val="00B0F0"/>
        </w:rPr>
      </w:pPr>
      <w:r w:rsidRPr="00DA60C5">
        <w:rPr>
          <w:color w:val="00B0F0"/>
        </w:rPr>
        <w:t>Description of Opportunities</w:t>
      </w:r>
    </w:p>
    <w:p w14:paraId="14BBA1FC" w14:textId="77777777" w:rsidR="009C599E" w:rsidRPr="00B90114" w:rsidRDefault="009C599E" w:rsidP="009C599E"/>
    <w:p w14:paraId="7D41EBB4" w14:textId="77777777" w:rsidR="009C599E" w:rsidRDefault="009C599E" w:rsidP="009C599E">
      <w:pPr>
        <w:rPr>
          <w:rStyle w:val="Heading2Char"/>
        </w:rPr>
      </w:pPr>
      <w:r w:rsidRPr="00DA60C5">
        <w:rPr>
          <w:rStyle w:val="Heading2Char"/>
          <w:noProof/>
          <w:color w:val="00B0F0"/>
          <w:lang w:val="en-US"/>
        </w:rPr>
        <w:drawing>
          <wp:anchor distT="0" distB="0" distL="114300" distR="114300" simplePos="0" relativeHeight="251660288" behindDoc="1" locked="0" layoutInCell="1" allowOverlap="1" wp14:anchorId="021F292F" wp14:editId="007BAF65">
            <wp:simplePos x="0" y="0"/>
            <wp:positionH relativeFrom="column">
              <wp:posOffset>-309880</wp:posOffset>
            </wp:positionH>
            <wp:positionV relativeFrom="paragraph">
              <wp:posOffset>358140</wp:posOffset>
            </wp:positionV>
            <wp:extent cx="6205855" cy="1410970"/>
            <wp:effectExtent l="0" t="0" r="4445" b="0"/>
            <wp:wrapTight wrapText="bothSides">
              <wp:wrapPolygon edited="0">
                <wp:start x="0" y="0"/>
                <wp:lineTo x="0" y="21289"/>
                <wp:lineTo x="19295" y="21289"/>
                <wp:lineTo x="21085" y="20997"/>
                <wp:lineTo x="21549" y="20414"/>
                <wp:lineTo x="21549" y="5541"/>
                <wp:lineTo x="21483" y="5249"/>
                <wp:lineTo x="20488" y="4666"/>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5855"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0C5">
        <w:rPr>
          <w:rStyle w:val="Heading2Char"/>
          <w:noProof/>
          <w:color w:val="00B0F0"/>
          <w:lang w:val="en-US"/>
        </w:rPr>
        <mc:AlternateContent>
          <mc:Choice Requires="wps">
            <w:drawing>
              <wp:anchor distT="45720" distB="45720" distL="114300" distR="114300" simplePos="0" relativeHeight="251659264" behindDoc="0" locked="0" layoutInCell="1" allowOverlap="1" wp14:anchorId="24045577" wp14:editId="554F814D">
                <wp:simplePos x="0" y="0"/>
                <wp:positionH relativeFrom="column">
                  <wp:posOffset>-348055</wp:posOffset>
                </wp:positionH>
                <wp:positionV relativeFrom="paragraph">
                  <wp:posOffset>1258980</wp:posOffset>
                </wp:positionV>
                <wp:extent cx="592455" cy="281305"/>
                <wp:effectExtent l="0" t="0" r="1714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281305"/>
                        </a:xfrm>
                        <a:prstGeom prst="rect">
                          <a:avLst/>
                        </a:prstGeom>
                        <a:solidFill>
                          <a:srgbClr val="FFFFFF"/>
                        </a:solidFill>
                        <a:ln w="9525">
                          <a:solidFill>
                            <a:schemeClr val="bg1"/>
                          </a:solidFill>
                          <a:miter lim="800000"/>
                          <a:headEnd/>
                          <a:tailEnd/>
                        </a:ln>
                      </wps:spPr>
                      <wps:txbx>
                        <w:txbxContent>
                          <w:p w14:paraId="0E3FA55A" w14:textId="77777777" w:rsidR="009C599E" w:rsidRDefault="009C599E" w:rsidP="009C599E">
                            <w:r>
                              <w:t>TOTAL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045577" id="_x0000_t202" coordsize="21600,21600" o:spt="202" path="m,l,21600r21600,l21600,xe">
                <v:stroke joinstyle="miter"/>
                <v:path gradientshapeok="t" o:connecttype="rect"/>
              </v:shapetype>
              <v:shape id="Text Box 2" o:spid="_x0000_s1026" type="#_x0000_t202" style="position:absolute;margin-left:-27.4pt;margin-top:99.15pt;width:46.65pt;height:2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" strokecolor="white [3212]">
                <v:textbox>
                  <w:txbxContent>
                    <w:p w14:paraId="0E3FA55A" w14:textId="77777777" w:rsidR="009C599E" w:rsidRDefault="009C599E" w:rsidP="009C599E">
                      <w:r>
                        <w:t>TOTAL</w:t>
                      </w:r>
                    </w:p>
                  </w:txbxContent>
                </v:textbox>
                <w10:wrap type="square"/>
              </v:shape>
            </w:pict>
          </mc:Fallback>
        </mc:AlternateContent>
      </w:r>
      <w:r w:rsidRPr="00DA60C5">
        <w:rPr>
          <w:rStyle w:val="Heading2Char"/>
          <w:color w:val="00B0F0"/>
        </w:rPr>
        <w:t>Lighting</w:t>
      </w:r>
      <w:r w:rsidRPr="00CF0C2A">
        <w:rPr>
          <w:rStyle w:val="Heading2Char"/>
        </w:rPr>
        <w:t xml:space="preserve"> </w:t>
      </w:r>
      <w:r w:rsidRPr="00DA60C5">
        <w:rPr>
          <w:rStyle w:val="Heading2Char"/>
          <w:color w:val="00B0F0"/>
        </w:rPr>
        <w:t>Upgrade</w:t>
      </w:r>
      <w:r w:rsidRPr="00CF0C2A">
        <w:rPr>
          <w:rStyle w:val="Heading2Char"/>
        </w:rPr>
        <w:t xml:space="preserve">: </w:t>
      </w:r>
    </w:p>
    <w:p w14:paraId="64FC4A34" w14:textId="77777777" w:rsidR="009C599E" w:rsidRPr="00CF0C2A" w:rsidRDefault="009C599E" w:rsidP="009C599E">
      <w:pPr>
        <w:rPr>
          <w:rStyle w:val="Heading2Char"/>
        </w:rPr>
      </w:pPr>
    </w:p>
    <w:p w14:paraId="3DB7A9CC" w14:textId="77777777" w:rsidR="009C599E" w:rsidRDefault="009C599E" w:rsidP="009C599E">
      <w:pPr>
        <w:pStyle w:val="Heading1"/>
      </w:pPr>
      <w:r w:rsidRPr="00264107">
        <w:rPr>
          <w:noProof/>
          <w:lang w:val="en-US"/>
        </w:rPr>
        <w:drawing>
          <wp:anchor distT="0" distB="0" distL="114300" distR="114300" simplePos="0" relativeHeight="251661312" behindDoc="1" locked="0" layoutInCell="1" allowOverlap="1" wp14:anchorId="6620542E" wp14:editId="014A4BC5">
            <wp:simplePos x="0" y="0"/>
            <wp:positionH relativeFrom="column">
              <wp:posOffset>-202565</wp:posOffset>
            </wp:positionH>
            <wp:positionV relativeFrom="paragraph">
              <wp:posOffset>-500380</wp:posOffset>
            </wp:positionV>
            <wp:extent cx="2836545" cy="1332000"/>
            <wp:effectExtent l="0" t="0" r="1905" b="1905"/>
            <wp:wrapTight wrapText="bothSides">
              <wp:wrapPolygon edited="0">
                <wp:start x="0" y="0"/>
                <wp:lineTo x="0" y="21322"/>
                <wp:lineTo x="21469" y="21322"/>
                <wp:lineTo x="2146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13535"/>
                    <a:stretch/>
                  </pic:blipFill>
                  <pic:spPr bwMode="auto">
                    <a:xfrm>
                      <a:off x="0" y="0"/>
                      <a:ext cx="2836545" cy="1332000"/>
                    </a:xfrm>
                    <a:prstGeom prst="rect">
                      <a:avLst/>
                    </a:prstGeom>
                    <a:noFill/>
                    <a:ln>
                      <a:noFill/>
                    </a:ln>
                    <a:extLst>
                      <a:ext uri="{53640926-AAD7-44D8-BBD7-CCE9431645EC}">
                        <a14:shadowObscured xmlns:a14="http://schemas.microsoft.com/office/drawing/2010/main"/>
                      </a:ext>
                    </a:extLst>
                  </pic:spPr>
                </pic:pic>
              </a:graphicData>
            </a:graphic>
          </wp:anchor>
        </w:drawing>
      </w:r>
    </w:p>
    <w:p w14:paraId="49F9C915" w14:textId="77777777" w:rsidR="009C599E" w:rsidRDefault="009C599E" w:rsidP="009C599E"/>
    <w:p w14:paraId="0EA3F988" w14:textId="77777777" w:rsidR="009C599E" w:rsidRDefault="009C599E" w:rsidP="009C599E"/>
    <w:p w14:paraId="43A89426" w14:textId="77777777" w:rsidR="009C599E" w:rsidRDefault="009C599E" w:rsidP="009C599E"/>
    <w:p w14:paraId="3548430F" w14:textId="77777777" w:rsidR="009C599E" w:rsidRDefault="009C599E" w:rsidP="009C599E">
      <w:pPr>
        <w:ind w:firstLine="720"/>
      </w:pPr>
      <w:r>
        <w:t xml:space="preserve">The building is currently lit with 60 W T8 lamps. A light schedule was determine in order to calculate how many hours of the year the lights are turned on for. It is recommended that we install new 8 W LED lamps to replace these 60 W T8s, for a large amount of savings. In total 55 T8 lamps will be replaced by 55 LED lamps. Furthermore there are already 8 LED pot lights currently in the household and these do not need to be upgraded. </w:t>
      </w:r>
    </w:p>
    <w:p w14:paraId="30415457" w14:textId="77777777" w:rsidR="009C599E" w:rsidRPr="001A78E4" w:rsidRDefault="009C599E" w:rsidP="009C599E"/>
    <w:p w14:paraId="554D68CB" w14:textId="77777777" w:rsidR="009C599E" w:rsidRDefault="009C599E" w:rsidP="009C599E"/>
    <w:p w14:paraId="15BA0FC3" w14:textId="77777777" w:rsidR="009C599E" w:rsidRDefault="009C599E" w:rsidP="009C599E"/>
    <w:p w14:paraId="1DFB616A" w14:textId="77777777" w:rsidR="009C599E" w:rsidRDefault="009C599E" w:rsidP="009C599E"/>
    <w:p w14:paraId="3EAE8F74" w14:textId="77777777" w:rsidR="009C599E" w:rsidRDefault="009C599E"/>
    <w:sectPr w:rsidR="009C599E" w:rsidSect="00DA60C5">
      <w:pgSz w:w="12240" w:h="15840"/>
      <w:pgMar w:top="1440" w:right="1440" w:bottom="1440" w:left="144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97F17" w14:textId="77777777" w:rsidR="008C7527" w:rsidRDefault="008C7527" w:rsidP="00DE07CE">
      <w:pPr>
        <w:spacing w:after="0" w:line="240" w:lineRule="auto"/>
      </w:pPr>
      <w:r>
        <w:separator/>
      </w:r>
    </w:p>
  </w:endnote>
  <w:endnote w:type="continuationSeparator" w:id="0">
    <w:p w14:paraId="3BDDB152" w14:textId="77777777" w:rsidR="008C7527" w:rsidRDefault="008C7527" w:rsidP="00DE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EE038" w14:textId="77777777" w:rsidR="008C7527" w:rsidRDefault="008C7527" w:rsidP="00DE07CE">
      <w:pPr>
        <w:spacing w:after="0" w:line="240" w:lineRule="auto"/>
      </w:pPr>
      <w:r>
        <w:separator/>
      </w:r>
    </w:p>
  </w:footnote>
  <w:footnote w:type="continuationSeparator" w:id="0">
    <w:p w14:paraId="2A3FF2DB" w14:textId="77777777" w:rsidR="008C7527" w:rsidRDefault="008C7527" w:rsidP="00DE07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E59F5"/>
    <w:multiLevelType w:val="hybridMultilevel"/>
    <w:tmpl w:val="232A58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9E"/>
    <w:rsid w:val="000E780B"/>
    <w:rsid w:val="003A22A0"/>
    <w:rsid w:val="006B3FE0"/>
    <w:rsid w:val="008C7527"/>
    <w:rsid w:val="009776E9"/>
    <w:rsid w:val="009C599E"/>
    <w:rsid w:val="00A44B20"/>
    <w:rsid w:val="00A65CDF"/>
    <w:rsid w:val="00AA1D9C"/>
    <w:rsid w:val="00CA6B4A"/>
    <w:rsid w:val="00DA60C5"/>
    <w:rsid w:val="00DC2FC9"/>
    <w:rsid w:val="00DE07CE"/>
    <w:rsid w:val="00DF6E86"/>
    <w:rsid w:val="00E21A4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4BD0F1"/>
  <w15:docId w15:val="{8D65939F-6346-424A-9DB9-8837DF9C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99E"/>
    <w:pPr>
      <w:spacing w:after="200" w:line="276" w:lineRule="auto"/>
    </w:pPr>
  </w:style>
  <w:style w:type="paragraph" w:styleId="Heading1">
    <w:name w:val="heading 1"/>
    <w:basedOn w:val="Normal"/>
    <w:next w:val="Normal"/>
    <w:link w:val="Heading1Char"/>
    <w:uiPriority w:val="9"/>
    <w:qFormat/>
    <w:rsid w:val="009C599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9C599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99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9C599E"/>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9C59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99E"/>
    <w:rPr>
      <w:rFonts w:ascii="Segoe UI" w:hAnsi="Segoe UI" w:cs="Segoe UI"/>
      <w:sz w:val="18"/>
      <w:szCs w:val="18"/>
    </w:rPr>
  </w:style>
  <w:style w:type="paragraph" w:styleId="Header">
    <w:name w:val="header"/>
    <w:basedOn w:val="Normal"/>
    <w:link w:val="HeaderChar"/>
    <w:uiPriority w:val="99"/>
    <w:unhideWhenUsed/>
    <w:rsid w:val="00DE0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CE"/>
  </w:style>
  <w:style w:type="paragraph" w:styleId="Footer">
    <w:name w:val="footer"/>
    <w:basedOn w:val="Normal"/>
    <w:link w:val="FooterChar"/>
    <w:uiPriority w:val="99"/>
    <w:unhideWhenUsed/>
    <w:rsid w:val="00DE0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en-CA"/>
              <a:t>Electricity Consumption (kWh) &amp; Demand (kW): 2016</a:t>
            </a:r>
          </a:p>
        </c:rich>
      </c:tx>
      <c:layout>
        <c:manualLayout>
          <c:xMode val="edge"/>
          <c:yMode val="edge"/>
          <c:x val="0.19386248209962287"/>
          <c:y val="0"/>
        </c:manualLayout>
      </c:layout>
      <c:overlay val="0"/>
    </c:title>
    <c:autoTitleDeleted val="0"/>
    <c:plotArea>
      <c:layout/>
      <c:lineChart>
        <c:grouping val="standard"/>
        <c:varyColors val="0"/>
        <c:ser>
          <c:idx val="0"/>
          <c:order val="0"/>
          <c:tx>
            <c:strRef>
              <c:f>'[energy audit worksheet with our utility data.xlsx]Utility Data'!$A$4</c:f>
              <c:strCache>
                <c:ptCount val="1"/>
                <c:pt idx="0">
                  <c:v>Baseline Electricity Consumption</c:v>
                </c:pt>
              </c:strCache>
            </c:strRef>
          </c:tx>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Data'!$B$4:$M$4</c:f>
              <c:numCache>
                <c:formatCode>_(* #,##0_);_(* \(#,##0\);_(* "-"??_);_(@_)</c:formatCode>
                <c:ptCount val="12"/>
                <c:pt idx="0">
                  <c:v>810.04</c:v>
                </c:pt>
                <c:pt idx="1">
                  <c:v>753.96</c:v>
                </c:pt>
                <c:pt idx="2">
                  <c:v>684.59</c:v>
                </c:pt>
                <c:pt idx="3">
                  <c:v>552.72</c:v>
                </c:pt>
                <c:pt idx="4">
                  <c:v>476.85</c:v>
                </c:pt>
                <c:pt idx="5">
                  <c:v>770.43</c:v>
                </c:pt>
                <c:pt idx="6">
                  <c:v>1084.0899999999999</c:v>
                </c:pt>
                <c:pt idx="7">
                  <c:v>1078.6500000000001</c:v>
                </c:pt>
                <c:pt idx="8">
                  <c:v>1204.1600000000001</c:v>
                </c:pt>
                <c:pt idx="9">
                  <c:v>806.74</c:v>
                </c:pt>
                <c:pt idx="10">
                  <c:v>511.82</c:v>
                </c:pt>
                <c:pt idx="11">
                  <c:v>623.88</c:v>
                </c:pt>
              </c:numCache>
            </c:numRef>
          </c:val>
          <c:smooth val="0"/>
          <c:extLst xmlns:c16r2="http://schemas.microsoft.com/office/drawing/2015/06/chart">
            <c:ext xmlns:c16="http://schemas.microsoft.com/office/drawing/2014/chart" uri="{C3380CC4-5D6E-409C-BE32-E72D297353CC}">
              <c16:uniqueId val="{00000000-C4CA-435A-A04B-BFD34F43AA05}"/>
            </c:ext>
          </c:extLst>
        </c:ser>
        <c:dLbls>
          <c:showLegendKey val="0"/>
          <c:showVal val="0"/>
          <c:showCatName val="0"/>
          <c:showSerName val="0"/>
          <c:showPercent val="0"/>
          <c:showBubbleSize val="0"/>
        </c:dLbls>
        <c:marker val="1"/>
        <c:smooth val="0"/>
        <c:axId val="303497136"/>
        <c:axId val="303497696"/>
      </c:lineChart>
      <c:lineChart>
        <c:grouping val="standard"/>
        <c:varyColors val="0"/>
        <c:ser>
          <c:idx val="1"/>
          <c:order val="1"/>
          <c:tx>
            <c:strRef>
              <c:f>'[energy audit worksheet with our utility data.xlsx]Utility Data'!$A$7</c:f>
              <c:strCache>
                <c:ptCount val="1"/>
                <c:pt idx="0">
                  <c:v>Baseline Peak Demand</c:v>
                </c:pt>
              </c:strCache>
            </c:strRef>
          </c:tx>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Data'!$B$7:$M$7</c:f>
              <c:numCache>
                <c:formatCode>_(* #,##0_);_(* \(#,##0\);_(* "-"??_);_(@_)</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1-C4CA-435A-A04B-BFD34F43AA05}"/>
            </c:ext>
          </c:extLst>
        </c:ser>
        <c:dLbls>
          <c:showLegendKey val="0"/>
          <c:showVal val="0"/>
          <c:showCatName val="0"/>
          <c:showSerName val="0"/>
          <c:showPercent val="0"/>
          <c:showBubbleSize val="0"/>
        </c:dLbls>
        <c:marker val="1"/>
        <c:smooth val="0"/>
        <c:axId val="303498816"/>
        <c:axId val="303498256"/>
      </c:lineChart>
      <c:catAx>
        <c:axId val="303497136"/>
        <c:scaling>
          <c:orientation val="minMax"/>
        </c:scaling>
        <c:delete val="0"/>
        <c:axPos val="b"/>
        <c:majorGridlines/>
        <c:numFmt formatCode="General" sourceLinked="1"/>
        <c:majorTickMark val="out"/>
        <c:minorTickMark val="none"/>
        <c:tickLblPos val="low"/>
        <c:crossAx val="303497696"/>
        <c:crosses val="autoZero"/>
        <c:auto val="1"/>
        <c:lblAlgn val="ctr"/>
        <c:lblOffset val="100"/>
        <c:noMultiLvlLbl val="0"/>
      </c:catAx>
      <c:valAx>
        <c:axId val="303497696"/>
        <c:scaling>
          <c:orientation val="minMax"/>
        </c:scaling>
        <c:delete val="0"/>
        <c:axPos val="l"/>
        <c:majorGridlines/>
        <c:title>
          <c:tx>
            <c:rich>
              <a:bodyPr rot="-5400000" vert="horz"/>
              <a:lstStyle/>
              <a:p>
                <a:pPr>
                  <a:defRPr/>
                </a:pPr>
                <a:r>
                  <a:rPr lang="en-US"/>
                  <a:t>kWh</a:t>
                </a:r>
              </a:p>
            </c:rich>
          </c:tx>
          <c:overlay val="0"/>
        </c:title>
        <c:numFmt formatCode="_(* #,##0_);_(* \(#,##0\);_(* &quot;-&quot;??_);_(@_)" sourceLinked="1"/>
        <c:majorTickMark val="out"/>
        <c:minorTickMark val="none"/>
        <c:tickLblPos val="nextTo"/>
        <c:crossAx val="303497136"/>
        <c:crosses val="autoZero"/>
        <c:crossBetween val="between"/>
      </c:valAx>
      <c:valAx>
        <c:axId val="303498256"/>
        <c:scaling>
          <c:orientation val="minMax"/>
        </c:scaling>
        <c:delete val="0"/>
        <c:axPos val="r"/>
        <c:title>
          <c:tx>
            <c:rich>
              <a:bodyPr rot="-5400000" vert="horz"/>
              <a:lstStyle/>
              <a:p>
                <a:pPr>
                  <a:defRPr/>
                </a:pPr>
                <a:r>
                  <a:rPr lang="en-US"/>
                  <a:t>kW</a:t>
                </a:r>
              </a:p>
            </c:rich>
          </c:tx>
          <c:overlay val="0"/>
        </c:title>
        <c:numFmt formatCode="_(* #,##0_);_(* \(#,##0\);_(* &quot;-&quot;??_);_(@_)" sourceLinked="1"/>
        <c:majorTickMark val="out"/>
        <c:minorTickMark val="none"/>
        <c:tickLblPos val="nextTo"/>
        <c:crossAx val="303498816"/>
        <c:crosses val="max"/>
        <c:crossBetween val="between"/>
      </c:valAx>
      <c:catAx>
        <c:axId val="303498816"/>
        <c:scaling>
          <c:orientation val="minMax"/>
        </c:scaling>
        <c:delete val="1"/>
        <c:axPos val="b"/>
        <c:numFmt formatCode="General" sourceLinked="1"/>
        <c:majorTickMark val="out"/>
        <c:minorTickMark val="none"/>
        <c:tickLblPos val="nextTo"/>
        <c:crossAx val="303498256"/>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4"/>
    </mc:Choice>
    <mc:Fallback>
      <c:style val="24"/>
    </mc:Fallback>
  </mc:AlternateContent>
  <c:chart>
    <c:title>
      <c:tx>
        <c:rich>
          <a:bodyPr/>
          <a:lstStyle/>
          <a:p>
            <a:pPr>
              <a:defRPr/>
            </a:pPr>
            <a:r>
              <a:rPr lang="en-CA"/>
              <a:t>Electricity Consumption (kWh) &amp; Demand (kW): 2016</a:t>
            </a:r>
          </a:p>
        </c:rich>
      </c:tx>
      <c:layout>
        <c:manualLayout>
          <c:xMode val="edge"/>
          <c:yMode val="edge"/>
          <c:x val="0.19386248209962287"/>
          <c:y val="0"/>
        </c:manualLayout>
      </c:layout>
      <c:overlay val="0"/>
    </c:title>
    <c:autoTitleDeleted val="0"/>
    <c:plotArea>
      <c:layout/>
      <c:lineChart>
        <c:grouping val="standard"/>
        <c:varyColors val="0"/>
        <c:ser>
          <c:idx val="0"/>
          <c:order val="0"/>
          <c:tx>
            <c:strRef>
              <c:f>'[energy audit worksheet with our utility data.xlsx]Utility Data'!$A$4</c:f>
              <c:strCache>
                <c:ptCount val="1"/>
                <c:pt idx="0">
                  <c:v>Baseline Electricity Consumption</c:v>
                </c:pt>
              </c:strCache>
            </c:strRef>
          </c:tx>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Data'!$B$4:$M$4</c:f>
              <c:numCache>
                <c:formatCode>_(* #,##0_);_(* \(#,##0\);_(* "-"??_);_(@_)</c:formatCode>
                <c:ptCount val="12"/>
                <c:pt idx="0">
                  <c:v>810.04</c:v>
                </c:pt>
                <c:pt idx="1">
                  <c:v>753.96</c:v>
                </c:pt>
                <c:pt idx="2">
                  <c:v>684.59</c:v>
                </c:pt>
                <c:pt idx="3">
                  <c:v>552.72</c:v>
                </c:pt>
                <c:pt idx="4">
                  <c:v>476.85</c:v>
                </c:pt>
                <c:pt idx="5">
                  <c:v>770.43</c:v>
                </c:pt>
                <c:pt idx="6">
                  <c:v>1084.0899999999999</c:v>
                </c:pt>
                <c:pt idx="7">
                  <c:v>1078.6500000000001</c:v>
                </c:pt>
                <c:pt idx="8">
                  <c:v>1204.1600000000001</c:v>
                </c:pt>
                <c:pt idx="9">
                  <c:v>806.74</c:v>
                </c:pt>
                <c:pt idx="10">
                  <c:v>511.82</c:v>
                </c:pt>
                <c:pt idx="11">
                  <c:v>623.88</c:v>
                </c:pt>
              </c:numCache>
            </c:numRef>
          </c:val>
          <c:smooth val="0"/>
          <c:extLst xmlns:c16r2="http://schemas.microsoft.com/office/drawing/2015/06/chart">
            <c:ext xmlns:c16="http://schemas.microsoft.com/office/drawing/2014/chart" uri="{C3380CC4-5D6E-409C-BE32-E72D297353CC}">
              <c16:uniqueId val="{00000000-C4CA-435A-A04B-BFD34F43AA05}"/>
            </c:ext>
          </c:extLst>
        </c:ser>
        <c:dLbls>
          <c:showLegendKey val="0"/>
          <c:showVal val="0"/>
          <c:showCatName val="0"/>
          <c:showSerName val="0"/>
          <c:showPercent val="0"/>
          <c:showBubbleSize val="0"/>
        </c:dLbls>
        <c:marker val="1"/>
        <c:smooth val="0"/>
        <c:axId val="303461440"/>
        <c:axId val="303462000"/>
      </c:lineChart>
      <c:lineChart>
        <c:grouping val="standard"/>
        <c:varyColors val="0"/>
        <c:ser>
          <c:idx val="1"/>
          <c:order val="1"/>
          <c:tx>
            <c:strRef>
              <c:f>'[energy audit worksheet with our utility data.xlsx]Utility Data'!$A$7</c:f>
              <c:strCache>
                <c:ptCount val="1"/>
                <c:pt idx="0">
                  <c:v>Baseline Peak Demand</c:v>
                </c:pt>
              </c:strCache>
            </c:strRef>
          </c:tx>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Data'!$B$7:$M$7</c:f>
              <c:numCache>
                <c:formatCode>_(* #,##0_);_(* \(#,##0\);_(* "-"??_);_(@_)</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1-C4CA-435A-A04B-BFD34F43AA05}"/>
            </c:ext>
          </c:extLst>
        </c:ser>
        <c:dLbls>
          <c:showLegendKey val="0"/>
          <c:showVal val="0"/>
          <c:showCatName val="0"/>
          <c:showSerName val="0"/>
          <c:showPercent val="0"/>
          <c:showBubbleSize val="0"/>
        </c:dLbls>
        <c:marker val="1"/>
        <c:smooth val="0"/>
        <c:axId val="303463120"/>
        <c:axId val="303462560"/>
      </c:lineChart>
      <c:catAx>
        <c:axId val="303461440"/>
        <c:scaling>
          <c:orientation val="minMax"/>
        </c:scaling>
        <c:delete val="0"/>
        <c:axPos val="b"/>
        <c:majorGridlines/>
        <c:numFmt formatCode="General" sourceLinked="1"/>
        <c:majorTickMark val="out"/>
        <c:minorTickMark val="none"/>
        <c:tickLblPos val="low"/>
        <c:crossAx val="303462000"/>
        <c:crosses val="autoZero"/>
        <c:auto val="1"/>
        <c:lblAlgn val="ctr"/>
        <c:lblOffset val="100"/>
        <c:noMultiLvlLbl val="0"/>
      </c:catAx>
      <c:valAx>
        <c:axId val="303462000"/>
        <c:scaling>
          <c:orientation val="minMax"/>
        </c:scaling>
        <c:delete val="0"/>
        <c:axPos val="l"/>
        <c:majorGridlines/>
        <c:title>
          <c:tx>
            <c:rich>
              <a:bodyPr rot="-5400000" vert="horz"/>
              <a:lstStyle/>
              <a:p>
                <a:pPr>
                  <a:defRPr/>
                </a:pPr>
                <a:r>
                  <a:rPr lang="en-US"/>
                  <a:t>kWh</a:t>
                </a:r>
              </a:p>
            </c:rich>
          </c:tx>
          <c:overlay val="0"/>
        </c:title>
        <c:numFmt formatCode="_(* #,##0_);_(* \(#,##0\);_(* &quot;-&quot;??_);_(@_)" sourceLinked="1"/>
        <c:majorTickMark val="out"/>
        <c:minorTickMark val="none"/>
        <c:tickLblPos val="nextTo"/>
        <c:crossAx val="303461440"/>
        <c:crosses val="autoZero"/>
        <c:crossBetween val="between"/>
      </c:valAx>
      <c:valAx>
        <c:axId val="303462560"/>
        <c:scaling>
          <c:orientation val="minMax"/>
        </c:scaling>
        <c:delete val="0"/>
        <c:axPos val="r"/>
        <c:title>
          <c:tx>
            <c:rich>
              <a:bodyPr rot="-5400000" vert="horz"/>
              <a:lstStyle/>
              <a:p>
                <a:pPr>
                  <a:defRPr/>
                </a:pPr>
                <a:r>
                  <a:rPr lang="en-US"/>
                  <a:t>kW</a:t>
                </a:r>
              </a:p>
            </c:rich>
          </c:tx>
          <c:overlay val="0"/>
        </c:title>
        <c:numFmt formatCode="_(* #,##0_);_(* \(#,##0\);_(* &quot;-&quot;??_);_(@_)" sourceLinked="1"/>
        <c:majorTickMark val="out"/>
        <c:minorTickMark val="none"/>
        <c:tickLblPos val="nextTo"/>
        <c:crossAx val="303463120"/>
        <c:crosses val="max"/>
        <c:crossBetween val="between"/>
      </c:valAx>
      <c:catAx>
        <c:axId val="303463120"/>
        <c:scaling>
          <c:orientation val="minMax"/>
        </c:scaling>
        <c:delete val="1"/>
        <c:axPos val="b"/>
        <c:numFmt formatCode="General" sourceLinked="1"/>
        <c:majorTickMark val="out"/>
        <c:minorTickMark val="none"/>
        <c:tickLblPos val="nextTo"/>
        <c:crossAx val="303462560"/>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a:t>Gas Consumption Breakdown (m3)</a:t>
            </a:r>
          </a:p>
        </c:rich>
      </c:tx>
      <c:layout>
        <c:manualLayout>
          <c:xMode val="edge"/>
          <c:yMode val="edge"/>
          <c:x val="0.22848391547210442"/>
          <c:y val="0"/>
        </c:manualLayout>
      </c:layout>
      <c:overlay val="0"/>
    </c:title>
    <c:autoTitleDeleted val="0"/>
    <c:plotArea>
      <c:layout/>
      <c:pieChart>
        <c:varyColors val="1"/>
        <c:ser>
          <c:idx val="0"/>
          <c:order val="0"/>
          <c:tx>
            <c:strRef>
              <c:f>EnergyBalance!$A$11</c:f>
              <c:strCache>
                <c:ptCount val="1"/>
                <c:pt idx="0">
                  <c:v>Gas Breakdown</c:v>
                </c:pt>
              </c:strCache>
            </c:strRef>
          </c:tx>
          <c:spPr>
            <a:ln>
              <a:solidFill>
                <a:srgbClr val="00B050"/>
              </a:solidFill>
            </a:ln>
          </c:spPr>
          <c:dLbls>
            <c:dLbl>
              <c:idx val="0"/>
              <c:layout>
                <c:manualLayout>
                  <c:x val="0.15233277047063229"/>
                  <c:y val="8.025232337424680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4A5-4AF7-AB6C-FCE392393C4E}"/>
                </c:ext>
                <c:ext xmlns:c15="http://schemas.microsoft.com/office/drawing/2012/chart" uri="{CE6537A1-D6FC-4f65-9D91-7224C49458BB}"/>
              </c:extLst>
            </c:dLbl>
            <c:dLbl>
              <c:idx val="1"/>
              <c:layout>
                <c:manualLayout>
                  <c:x val="0.13540690708500649"/>
                  <c:y val="3.246682695564699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4A5-4AF7-AB6C-FCE392393C4E}"/>
                </c:ext>
                <c:ext xmlns:c15="http://schemas.microsoft.com/office/drawing/2012/chart" uri="{CE6537A1-D6FC-4f65-9D91-7224C49458BB}"/>
              </c:extLst>
            </c:dLbl>
            <c:dLbl>
              <c:idx val="2"/>
              <c:layout>
                <c:manualLayout>
                  <c:x val="2.8209772309376317E-2"/>
                  <c:y val="9.41537981713761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4A5-4AF7-AB6C-FCE392393C4E}"/>
                </c:ext>
                <c:ext xmlns:c15="http://schemas.microsoft.com/office/drawing/2012/chart" uri="{CE6537A1-D6FC-4f65-9D91-7224C49458BB}"/>
              </c:extLst>
            </c:dLbl>
            <c:dLbl>
              <c:idx val="3"/>
              <c:layout>
                <c:manualLayout>
                  <c:x val="-5.6419544618752718E-2"/>
                  <c:y val="0.1168805770403290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D4A5-4AF7-AB6C-FCE392393C4E}"/>
                </c:ext>
                <c:ext xmlns:c15="http://schemas.microsoft.com/office/drawing/2012/chart" uri="{CE6537A1-D6FC-4f65-9D91-7224C49458BB}"/>
              </c:extLst>
            </c:dLbl>
            <c:dLbl>
              <c:idx val="4"/>
              <c:layout>
                <c:manualLayout>
                  <c:x val="-0.15421342195792406"/>
                  <c:y val="1.948009617338819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D4A5-4AF7-AB6C-FCE392393C4E}"/>
                </c:ext>
                <c:ext xmlns:c15="http://schemas.microsoft.com/office/drawing/2012/chart" uri="{CE6537A1-D6FC-4f65-9D91-7224C49458BB}"/>
              </c:extLst>
            </c:dLbl>
            <c:dLbl>
              <c:idx val="5"/>
              <c:layout>
                <c:manualLayout>
                  <c:x val="-9.215192287729608E-2"/>
                  <c:y val="-0.10064716356250579"/>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D4A5-4AF7-AB6C-FCE392393C4E}"/>
                </c:ext>
                <c:ext xmlns:c15="http://schemas.microsoft.com/office/drawing/2012/chart" uri="{CE6537A1-D6FC-4f65-9D91-7224C49458BB}"/>
              </c:extLst>
            </c:dLbl>
            <c:dLbl>
              <c:idx val="6"/>
              <c:layout>
                <c:manualLayout>
                  <c:x val="-8.462931692812907E-2"/>
                  <c:y val="-5.5193605824599888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D4A5-4AF7-AB6C-FCE392393C4E}"/>
                </c:ext>
                <c:ext xmlns:c15="http://schemas.microsoft.com/office/drawing/2012/chart" uri="{CE6537A1-D6FC-4f65-9D91-7224C49458BB}"/>
              </c:extLst>
            </c:dLbl>
            <c:dLbl>
              <c:idx val="7"/>
              <c:layout>
                <c:manualLayout>
                  <c:x val="-0.15421342195792406"/>
                  <c:y val="3.4018119457901633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D4A5-4AF7-AB6C-FCE392393C4E}"/>
                </c:ext>
                <c:ext xmlns:c15="http://schemas.microsoft.com/office/drawing/2012/chart" uri="{CE6537A1-D6FC-4f65-9D91-7224C49458BB}"/>
              </c:extLst>
            </c:dLbl>
            <c:dLbl>
              <c:idx val="8"/>
              <c:layout>
                <c:manualLayout>
                  <c:x val="1.0500201897839694E-2"/>
                  <c:y val="-3.859813222271947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8-D4A5-4AF7-AB6C-FCE392393C4E}"/>
                </c:ext>
                <c:ext xmlns:c15="http://schemas.microsoft.com/office/drawing/2012/chart" uri="{CE6537A1-D6FC-4f65-9D91-7224C49458BB}"/>
              </c:extLst>
            </c:dLbl>
            <c:dLbl>
              <c:idx val="9"/>
              <c:layout>
                <c:manualLayout>
                  <c:x val="0.21053603876438515"/>
                  <c:y val="2.1795662638944167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D4A5-4AF7-AB6C-FCE392393C4E}"/>
                </c:ext>
                <c:ext xmlns:c15="http://schemas.microsoft.com/office/drawing/2012/chart" uri="{CE6537A1-D6FC-4f65-9D91-7224C49458BB}"/>
              </c:extLst>
            </c:dLbl>
            <c:spPr>
              <a:solidFill>
                <a:sysClr val="window" lastClr="FFFFFF"/>
              </a:solidFill>
              <a:ln>
                <a:solidFill>
                  <a:sysClr val="windowText" lastClr="000000">
                    <a:lumMod val="65000"/>
                    <a:lumOff val="35000"/>
                  </a:sysClr>
                </a:solidFill>
              </a:ln>
              <a:effectLst/>
            </c:sp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EnergyBalance!$A$12:$A$21</c:f>
              <c:strCache>
                <c:ptCount val="10"/>
                <c:pt idx="0">
                  <c:v>Household Furnace</c:v>
                </c:pt>
                <c:pt idx="1">
                  <c:v>Domestic Hot Water</c:v>
                </c:pt>
                <c:pt idx="2">
                  <c:v>Dryer</c:v>
                </c:pt>
                <c:pt idx="3">
                  <c:v>Fireplace Pilot Light</c:v>
                </c:pt>
                <c:pt idx="4">
                  <c:v>Fireplace</c:v>
                </c:pt>
                <c:pt idx="5">
                  <c:v>Pool Heater Pilot Light</c:v>
                </c:pt>
                <c:pt idx="6">
                  <c:v>Pool Heater</c:v>
                </c:pt>
                <c:pt idx="7">
                  <c:v>BBQ</c:v>
                </c:pt>
                <c:pt idx="8">
                  <c:v>DHW Pilot Light</c:v>
                </c:pt>
                <c:pt idx="9">
                  <c:v>Furnace Pilot Light</c:v>
                </c:pt>
              </c:strCache>
            </c:strRef>
          </c:cat>
          <c:val>
            <c:numRef>
              <c:f>EnergyBalance!$E$12:$E$21</c:f>
              <c:numCache>
                <c:formatCode>0%</c:formatCode>
                <c:ptCount val="10"/>
                <c:pt idx="0">
                  <c:v>0.18605491659639553</c:v>
                </c:pt>
                <c:pt idx="1">
                  <c:v>0.45229350025123238</c:v>
                </c:pt>
                <c:pt idx="2">
                  <c:v>1.3330028002548981E-2</c:v>
                </c:pt>
                <c:pt idx="3">
                  <c:v>1.341334067756491E-2</c:v>
                </c:pt>
                <c:pt idx="4">
                  <c:v>2.2173988888855519E-2</c:v>
                </c:pt>
                <c:pt idx="5">
                  <c:v>9.5343491373126778E-3</c:v>
                </c:pt>
                <c:pt idx="6">
                  <c:v>0.20245562634990258</c:v>
                </c:pt>
                <c:pt idx="7">
                  <c:v>1.9086176458195131E-2</c:v>
                </c:pt>
                <c:pt idx="8">
                  <c:v>2.5518148011872608E-2</c:v>
                </c:pt>
                <c:pt idx="9">
                  <c:v>5.6139925626119754E-2</c:v>
                </c:pt>
              </c:numCache>
            </c:numRef>
          </c:val>
          <c:extLst xmlns:c16r2="http://schemas.microsoft.com/office/drawing/2015/06/chart">
            <c:ext xmlns:c16="http://schemas.microsoft.com/office/drawing/2014/chart" uri="{C3380CC4-5D6E-409C-BE32-E72D297353CC}">
              <c16:uniqueId val="{0000000A-D4A5-4AF7-AB6C-FCE392393C4E}"/>
            </c:ext>
          </c:extLst>
        </c:ser>
        <c:dLbls>
          <c:dLblPos val="bestFit"/>
          <c:showLegendKey val="0"/>
          <c:showVal val="1"/>
          <c:showCatName val="0"/>
          <c:showSerName val="0"/>
          <c:showPercent val="0"/>
          <c:showBubbleSize val="0"/>
          <c:showLeaderLines val="0"/>
        </c:dLbls>
        <c:firstSliceAng val="0"/>
      </c:pieChart>
      <c:spPr>
        <a:ln>
          <a:solidFill>
            <a:schemeClr val="accent5">
              <a:lumMod val="50000"/>
            </a:schemeClr>
          </a:solidFill>
        </a:ln>
      </c:spPr>
    </c:plotArea>
    <c:plotVisOnly val="1"/>
    <c:dispBlanksAs val="gap"/>
    <c:showDLblsOverMax val="0"/>
  </c:chart>
  <c:spPr>
    <a:pattFill prst="ltDnDiag">
      <a:fgClr>
        <a:schemeClr val="accent1"/>
      </a:fgClr>
      <a:bgClr>
        <a:schemeClr val="bg1"/>
      </a:bgClr>
    </a:patt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CA"/>
              <a:t>Electricity Consumption Breakdown (kWh)</a:t>
            </a:r>
          </a:p>
        </c:rich>
      </c:tx>
      <c:layout>
        <c:manualLayout>
          <c:xMode val="edge"/>
          <c:yMode val="edge"/>
          <c:x val="0.17414294367050273"/>
          <c:y val="4.4452676421559548E-2"/>
        </c:manualLayout>
      </c:layout>
      <c:overlay val="0"/>
    </c:title>
    <c:autoTitleDeleted val="0"/>
    <c:plotArea>
      <c:layout/>
      <c:pieChart>
        <c:varyColors val="1"/>
        <c:ser>
          <c:idx val="0"/>
          <c:order val="0"/>
          <c:dLbls>
            <c:dLbl>
              <c:idx val="0"/>
              <c:layout>
                <c:manualLayout>
                  <c:x val="-0.11697961870287857"/>
                  <c:y val="0.1263091214923908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A6B3-4767-946B-AA85C5E80399}"/>
                </c:ext>
                <c:ext xmlns:c15="http://schemas.microsoft.com/office/drawing/2012/chart" uri="{CE6537A1-D6FC-4f65-9D91-7224C49458BB}"/>
              </c:extLst>
            </c:dLbl>
            <c:dLbl>
              <c:idx val="1"/>
              <c:layout>
                <c:manualLayout>
                  <c:x val="-9.4697786568997064E-2"/>
                  <c:y val="-7.1251299303399962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A6B3-4767-946B-AA85C5E80399}"/>
                </c:ext>
                <c:ext xmlns:c15="http://schemas.microsoft.com/office/drawing/2012/chart" uri="{CE6537A1-D6FC-4f65-9D91-7224C49458BB}"/>
              </c:extLst>
            </c:dLbl>
            <c:dLbl>
              <c:idx val="2"/>
              <c:layout>
                <c:manualLayout>
                  <c:x val="0.13926145083676028"/>
                  <c:y val="-0.1651734665669726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A6B3-4767-946B-AA85C5E80399}"/>
                </c:ext>
                <c:ext xmlns:c15="http://schemas.microsoft.com/office/drawing/2012/chart" uri="{CE6537A1-D6FC-4f65-9D91-7224C49458BB}"/>
              </c:extLst>
            </c:dLbl>
            <c:dLbl>
              <c:idx val="4"/>
              <c:layout>
                <c:manualLayout>
                  <c:x val="-8.1651320514309803E-2"/>
                  <c:y val="2.571327121148735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A6B3-4767-946B-AA85C5E80399}"/>
                </c:ex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EnergyBalance!$A$7:$A$10</c:f>
              <c:strCache>
                <c:ptCount val="3"/>
                <c:pt idx="0">
                  <c:v>Appliances</c:v>
                </c:pt>
                <c:pt idx="1">
                  <c:v>Cooling</c:v>
                </c:pt>
                <c:pt idx="2">
                  <c:v>Lighting</c:v>
                </c:pt>
              </c:strCache>
            </c:strRef>
          </c:cat>
          <c:val>
            <c:numRef>
              <c:f>EnergyBalance!$B$7:$B$10</c:f>
              <c:numCache>
                <c:formatCode>#,##0</c:formatCode>
                <c:ptCount val="4"/>
                <c:pt idx="0">
                  <c:v>2603.9247840000003</c:v>
                </c:pt>
                <c:pt idx="1">
                  <c:v>731.50521600000002</c:v>
                </c:pt>
                <c:pt idx="2">
                  <c:v>6022.5</c:v>
                </c:pt>
              </c:numCache>
            </c:numRef>
          </c:val>
          <c:extLst xmlns:c16r2="http://schemas.microsoft.com/office/drawing/2015/06/chart">
            <c:ext xmlns:c16="http://schemas.microsoft.com/office/drawing/2014/chart" uri="{C3380CC4-5D6E-409C-BE32-E72D297353CC}">
              <c16:uniqueId val="{00000004-A6B3-4767-946B-AA85C5E80399}"/>
            </c:ext>
          </c:extLst>
        </c:ser>
        <c:dLbls>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a:t>Annual Total Energy Use Breakdown (ekWh)</a:t>
            </a:r>
          </a:p>
          <a:p>
            <a:pPr>
              <a:defRPr/>
            </a:pPr>
            <a:endParaRPr lang="en-US"/>
          </a:p>
        </c:rich>
      </c:tx>
      <c:layout>
        <c:manualLayout>
          <c:xMode val="edge"/>
          <c:yMode val="edge"/>
          <c:x val="9.200155595769921E-2"/>
          <c:y val="8.7445591040250404E-4"/>
        </c:manualLayout>
      </c:layout>
      <c:overlay val="0"/>
    </c:title>
    <c:autoTitleDeleted val="0"/>
    <c:plotArea>
      <c:layout>
        <c:manualLayout>
          <c:layoutTarget val="inner"/>
          <c:xMode val="edge"/>
          <c:yMode val="edge"/>
          <c:x val="0.20842595272091646"/>
          <c:y val="0.26820812841126063"/>
          <c:w val="0.59564268957981681"/>
          <c:h val="0.61876333158158481"/>
        </c:manualLayout>
      </c:layout>
      <c:pieChart>
        <c:varyColors val="1"/>
        <c:ser>
          <c:idx val="0"/>
          <c:order val="0"/>
          <c:dLbls>
            <c:dLbl>
              <c:idx val="0"/>
              <c:layout>
                <c:manualLayout>
                  <c:x val="7.7667026805001205E-2"/>
                  <c:y val="-0.10986837692974409"/>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22671051994131755"/>
                  <c:y val="-0.10893856399469325"/>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0.14993302168734363"/>
                  <c:y val="-1.7204687069189029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3"/>
              <c:layout>
                <c:manualLayout>
                  <c:x val="2.8590896373574749E-2"/>
                  <c:y val="-8.8757113640691152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4"/>
              <c:layout>
                <c:manualLayout>
                  <c:x val="-6.9694697877942746E-2"/>
                  <c:y val="2.7812644503983075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5"/>
              <c:layout>
                <c:manualLayout>
                  <c:x val="-1.5438622761778138E-2"/>
                  <c:y val="0.15347900616783183"/>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6"/>
              <c:layout>
                <c:manualLayout>
                  <c:x val="-2.2267999943441051E-2"/>
                  <c:y val="3.9688249924260781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7"/>
              <c:layout>
                <c:manualLayout>
                  <c:x val="-8.6272375731017398E-2"/>
                  <c:y val="-4.682641506677919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8"/>
              <c:layout>
                <c:manualLayout>
                  <c:x val="-3.1738239325317448E-2"/>
                  <c:y val="-0.12854873857554827"/>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9"/>
              <c:layout>
                <c:manualLayout>
                  <c:x val="-4.6704595159620249E-2"/>
                  <c:y val="-9.6627439875651491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10"/>
              <c:layout>
                <c:manualLayout>
                  <c:x val="-0.2200087480931637"/>
                  <c:y val="-0.118092152851636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11"/>
              <c:layout>
                <c:manualLayout>
                  <c:x val="-4.4562309070085113E-2"/>
                  <c:y val="-0.10875046863240025"/>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12"/>
              <c:layout>
                <c:manualLayout>
                  <c:x val="4.1171671583396276E-2"/>
                  <c:y val="-5.4584757932926366E-2"/>
                </c:manualLayout>
              </c:layout>
              <c:dLblPos val="bestFit"/>
              <c:showLegendKey val="0"/>
              <c:showVal val="0"/>
              <c:showCatName val="1"/>
              <c:showSerName val="0"/>
              <c:showPercent val="1"/>
              <c:showBubbleSize val="0"/>
              <c:extLs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(EnergyBalance!$A$7:$A$9,EnergyBalance!$A$12:$A$21)</c:f>
              <c:strCache>
                <c:ptCount val="13"/>
                <c:pt idx="0">
                  <c:v>Appliances</c:v>
                </c:pt>
                <c:pt idx="1">
                  <c:v>Cooling</c:v>
                </c:pt>
                <c:pt idx="2">
                  <c:v>Lighting</c:v>
                </c:pt>
                <c:pt idx="3">
                  <c:v>Household Furnace</c:v>
                </c:pt>
                <c:pt idx="4">
                  <c:v>Domestic Hot Water</c:v>
                </c:pt>
                <c:pt idx="5">
                  <c:v>Dryer</c:v>
                </c:pt>
                <c:pt idx="6">
                  <c:v>Fireplace Pilot Light</c:v>
                </c:pt>
                <c:pt idx="7">
                  <c:v>Fireplace</c:v>
                </c:pt>
                <c:pt idx="8">
                  <c:v>Pool Heater Pilot Light</c:v>
                </c:pt>
                <c:pt idx="9">
                  <c:v>Pool Heater</c:v>
                </c:pt>
                <c:pt idx="10">
                  <c:v>BBQ</c:v>
                </c:pt>
                <c:pt idx="11">
                  <c:v>DHW Pilot Light</c:v>
                </c:pt>
                <c:pt idx="12">
                  <c:v>Furnace Pilot Light</c:v>
                </c:pt>
              </c:strCache>
            </c:strRef>
          </c:cat>
          <c:val>
            <c:numRef>
              <c:f>(EnergyBalance!$B$7:$B$9,EnergyBalance!$B$12:$B$21)</c:f>
              <c:numCache>
                <c:formatCode>#,##0</c:formatCode>
                <c:ptCount val="13"/>
                <c:pt idx="0">
                  <c:v>2603.9247840000003</c:v>
                </c:pt>
                <c:pt idx="1">
                  <c:v>731.50521600000002</c:v>
                </c:pt>
                <c:pt idx="2">
                  <c:v>6022.5</c:v>
                </c:pt>
                <c:pt idx="3">
                  <c:v>9359.2158207000011</c:v>
                </c:pt>
                <c:pt idx="4">
                  <c:v>22751.951738711123</c:v>
                </c:pt>
                <c:pt idx="5">
                  <c:v>670.5472301087658</c:v>
                </c:pt>
                <c:pt idx="6">
                  <c:v>674.73815029694549</c:v>
                </c:pt>
                <c:pt idx="7">
                  <c:v>1115.429527007851</c:v>
                </c:pt>
                <c:pt idx="8">
                  <c:v>479.6112509060294</c:v>
                </c:pt>
                <c:pt idx="9">
                  <c:v>10184.229128618712</c:v>
                </c:pt>
                <c:pt idx="10">
                  <c:v>960.10171583755096</c:v>
                </c:pt>
                <c:pt idx="11">
                  <c:v>1283.6524772187036</c:v>
                </c:pt>
                <c:pt idx="12">
                  <c:v>2824.0354498811485</c:v>
                </c:pt>
              </c:numCache>
            </c:numRef>
          </c:val>
          <c:extLst xmlns:c16r2="http://schemas.microsoft.com/office/drawing/2015/06/chart">
            <c:ext xmlns:c16="http://schemas.microsoft.com/office/drawing/2014/chart" uri="{C3380CC4-5D6E-409C-BE32-E72D297353CC}">
              <c16:uniqueId val="{0000000D-E6C4-4E20-90A2-44F43556B967}"/>
            </c:ext>
          </c:extLst>
        </c:ser>
        <c:dLbls>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Mikwar</dc:creator>
  <cp:lastModifiedBy>amo</cp:lastModifiedBy>
  <cp:revision>2</cp:revision>
  <dcterms:created xsi:type="dcterms:W3CDTF">2019-04-19T20:43:00Z</dcterms:created>
  <dcterms:modified xsi:type="dcterms:W3CDTF">2019-04-19T20:43:00Z</dcterms:modified>
</cp:coreProperties>
</file>