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77F" w:rsidRDefault="0010477F" w:rsidP="00153B65">
      <w:pPr>
        <w:pStyle w:val="NoSpacing"/>
      </w:pPr>
    </w:p>
    <w:p w:rsidR="0010477F" w:rsidRDefault="0010477F"/>
    <w:p w:rsidR="0010477F" w:rsidRDefault="0010477F"/>
    <w:p w:rsidR="0010477F" w:rsidRDefault="0010477F"/>
    <w:p w:rsidR="0010477F" w:rsidRDefault="0010477F"/>
    <w:p w:rsidR="0010477F" w:rsidRDefault="0010477F"/>
    <w:p w:rsidR="0010477F" w:rsidRDefault="0010477F"/>
    <w:p w:rsidR="0010477F" w:rsidRDefault="0010477F"/>
    <w:p w:rsidR="0010477F" w:rsidRDefault="0010477F"/>
    <w:p w:rsidR="0010477F" w:rsidRDefault="0010477F"/>
    <w:p w:rsidR="0010477F" w:rsidRDefault="00EB5BCD" w:rsidP="0010477F">
      <w:pPr>
        <w:spacing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Acquisitions</w:t>
      </w:r>
    </w:p>
    <w:p w:rsidR="0010477F" w:rsidRPr="0071243E" w:rsidRDefault="00EB5BCD" w:rsidP="0010477F">
      <w:pPr>
        <w:spacing w:line="480" w:lineRule="auto"/>
        <w:jc w:val="center"/>
        <w:rPr>
          <w:rFonts w:ascii="Times New Roman" w:hAnsi="Times New Roman" w:cs="Times New Roman"/>
          <w:color w:val="000000" w:themeColor="text1"/>
          <w:sz w:val="24"/>
          <w:szCs w:val="24"/>
        </w:rPr>
      </w:pPr>
      <w:r w:rsidRPr="0071243E">
        <w:rPr>
          <w:rFonts w:ascii="Times New Roman" w:hAnsi="Times New Roman" w:cs="Times New Roman"/>
          <w:color w:val="000000" w:themeColor="text1"/>
          <w:sz w:val="24"/>
          <w:szCs w:val="24"/>
        </w:rPr>
        <w:t>Student Name</w:t>
      </w:r>
    </w:p>
    <w:p w:rsidR="0010477F" w:rsidRPr="0071243E" w:rsidRDefault="00EB5BCD" w:rsidP="0010477F">
      <w:pPr>
        <w:spacing w:line="480" w:lineRule="auto"/>
        <w:jc w:val="center"/>
        <w:rPr>
          <w:rFonts w:ascii="Times New Roman" w:hAnsi="Times New Roman" w:cs="Times New Roman"/>
          <w:color w:val="000000" w:themeColor="text1"/>
          <w:sz w:val="24"/>
          <w:szCs w:val="24"/>
        </w:rPr>
      </w:pPr>
      <w:r w:rsidRPr="0071243E">
        <w:rPr>
          <w:rFonts w:ascii="Times New Roman" w:hAnsi="Times New Roman" w:cs="Times New Roman"/>
          <w:color w:val="000000" w:themeColor="text1"/>
          <w:sz w:val="24"/>
          <w:szCs w:val="24"/>
        </w:rPr>
        <w:t>Institution Affiliation</w:t>
      </w:r>
    </w:p>
    <w:p w:rsidR="0010477F" w:rsidRPr="0071243E" w:rsidRDefault="00EB5BCD" w:rsidP="0010477F">
      <w:pPr>
        <w:spacing w:line="480" w:lineRule="auto"/>
        <w:jc w:val="center"/>
        <w:rPr>
          <w:rFonts w:ascii="Times New Roman" w:hAnsi="Times New Roman" w:cs="Times New Roman"/>
          <w:color w:val="000000" w:themeColor="text1"/>
          <w:sz w:val="24"/>
          <w:szCs w:val="24"/>
        </w:rPr>
      </w:pPr>
      <w:r w:rsidRPr="0071243E">
        <w:rPr>
          <w:rFonts w:ascii="Times New Roman" w:hAnsi="Times New Roman" w:cs="Times New Roman"/>
          <w:color w:val="000000" w:themeColor="text1"/>
          <w:sz w:val="24"/>
          <w:szCs w:val="24"/>
        </w:rPr>
        <w:t>Date</w:t>
      </w:r>
    </w:p>
    <w:p w:rsidR="0010477F" w:rsidRDefault="0010477F" w:rsidP="0010477F">
      <w:pPr>
        <w:jc w:val="center"/>
      </w:pPr>
    </w:p>
    <w:p w:rsidR="0010477F" w:rsidRDefault="0010477F"/>
    <w:p w:rsidR="0010477F" w:rsidRDefault="0010477F"/>
    <w:p w:rsidR="0010477F" w:rsidRDefault="0010477F"/>
    <w:p w:rsidR="0010477F" w:rsidRDefault="0010477F"/>
    <w:p w:rsidR="0010477F" w:rsidRDefault="0010477F"/>
    <w:p w:rsidR="0010477F" w:rsidRDefault="0010477F"/>
    <w:p w:rsidR="0010477F" w:rsidRDefault="0010477F"/>
    <w:p w:rsidR="0010477F" w:rsidRDefault="0010477F"/>
    <w:p w:rsidR="0010477F" w:rsidRDefault="0010477F"/>
    <w:p w:rsidR="0010477F" w:rsidRDefault="0010477F"/>
    <w:p w:rsidR="0010477F" w:rsidRDefault="0010477F"/>
    <w:p w:rsidR="0010477F" w:rsidRDefault="0010477F"/>
    <w:p w:rsidR="0010477F" w:rsidRDefault="0010477F"/>
    <w:p w:rsidR="0010477F" w:rsidRDefault="0010477F"/>
    <w:p w:rsidR="0010477F" w:rsidRPr="0010477F" w:rsidRDefault="00EB5BCD" w:rsidP="0010477F">
      <w:pPr>
        <w:spacing w:after="0" w:line="480" w:lineRule="auto"/>
        <w:ind w:firstLine="851"/>
        <w:jc w:val="center"/>
        <w:rPr>
          <w:rFonts w:ascii="Times New Roman" w:hAnsi="Times New Roman" w:cs="Times New Roman"/>
          <w:b/>
          <w:bCs/>
          <w:color w:val="000000" w:themeColor="text1"/>
          <w:sz w:val="24"/>
          <w:szCs w:val="24"/>
        </w:rPr>
      </w:pPr>
      <w:r w:rsidRPr="0010477F">
        <w:rPr>
          <w:rFonts w:ascii="Times New Roman" w:hAnsi="Times New Roman" w:cs="Times New Roman"/>
          <w:b/>
          <w:bCs/>
          <w:color w:val="000000" w:themeColor="text1"/>
          <w:sz w:val="24"/>
          <w:szCs w:val="24"/>
        </w:rPr>
        <w:lastRenderedPageBreak/>
        <w:t>Acquisition</w:t>
      </w:r>
    </w:p>
    <w:p w:rsidR="003063CB" w:rsidRPr="0010477F" w:rsidRDefault="00153B65" w:rsidP="0010477F">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00EB5BCD" w:rsidRPr="0010477F">
        <w:rPr>
          <w:rFonts w:ascii="Times New Roman" w:hAnsi="Times New Roman" w:cs="Times New Roman"/>
          <w:color w:val="000000" w:themeColor="text1"/>
          <w:sz w:val="24"/>
          <w:szCs w:val="24"/>
        </w:rPr>
        <w:t>cquisition is a transaction process where a company purchases a segment or all the elements of another company in terms of assets or shares. It is a process that aims to take control or build the strength of another company or capture synergies to enhance business success</w:t>
      </w:r>
      <w:r w:rsidR="005129C6" w:rsidRPr="0010477F">
        <w:rPr>
          <w:rFonts w:ascii="Times New Roman" w:hAnsi="Times New Roman" w:cs="Times New Roman"/>
          <w:color w:val="000000" w:themeColor="text1"/>
          <w:sz w:val="24"/>
          <w:szCs w:val="24"/>
        </w:rPr>
        <w:t xml:space="preserve"> (</w:t>
      </w:r>
      <w:r w:rsidR="005129C6" w:rsidRPr="0010477F">
        <w:rPr>
          <w:rFonts w:ascii="Times New Roman" w:hAnsi="Times New Roman" w:cs="Times New Roman"/>
          <w:color w:val="000000" w:themeColor="text1"/>
          <w:sz w:val="24"/>
          <w:szCs w:val="24"/>
          <w:shd w:val="clear" w:color="auto" w:fill="FFFFFF"/>
        </w:rPr>
        <w:t>Gaughan, 2010)</w:t>
      </w:r>
      <w:r w:rsidR="00EB5BCD" w:rsidRPr="0010477F">
        <w:rPr>
          <w:rFonts w:ascii="Times New Roman" w:hAnsi="Times New Roman" w:cs="Times New Roman"/>
          <w:color w:val="000000" w:themeColor="text1"/>
          <w:sz w:val="24"/>
          <w:szCs w:val="24"/>
        </w:rPr>
        <w:t xml:space="preserve">. More so, vertical integration is another significant process of controlling or owning suppliers, retail locations, or distributors of a company to regulate value or supply chain. </w:t>
      </w:r>
      <w:r w:rsidR="000D3492" w:rsidRPr="0010477F">
        <w:rPr>
          <w:rFonts w:ascii="Times New Roman" w:hAnsi="Times New Roman" w:cs="Times New Roman"/>
          <w:color w:val="000000" w:themeColor="text1"/>
          <w:sz w:val="24"/>
          <w:szCs w:val="24"/>
        </w:rPr>
        <w:t>The acquisition is a beneficial process to the bigger companies who take control of the smaller companies. However, it is not always that the company may experience the advantages of acquiring smaller companies. Therefore, there is a need to enhance the analysis of the financial performance of the acquired companies to decide if they will enhance the successful business process in the corporation</w:t>
      </w:r>
      <w:r w:rsidR="005129C6" w:rsidRPr="0010477F">
        <w:rPr>
          <w:rFonts w:ascii="Times New Roman" w:hAnsi="Times New Roman" w:cs="Times New Roman"/>
          <w:color w:val="000000" w:themeColor="text1"/>
          <w:sz w:val="24"/>
          <w:szCs w:val="24"/>
        </w:rPr>
        <w:t xml:space="preserve"> (</w:t>
      </w:r>
      <w:r w:rsidR="005129C6" w:rsidRPr="0010477F">
        <w:rPr>
          <w:rFonts w:ascii="Times New Roman" w:hAnsi="Times New Roman" w:cs="Times New Roman"/>
          <w:color w:val="000000" w:themeColor="text1"/>
          <w:sz w:val="24"/>
          <w:szCs w:val="24"/>
          <w:shd w:val="clear" w:color="auto" w:fill="FFFFFF"/>
        </w:rPr>
        <w:t>Gaughan, 2010)</w:t>
      </w:r>
      <w:r w:rsidR="000D3492" w:rsidRPr="0010477F">
        <w:rPr>
          <w:rFonts w:ascii="Times New Roman" w:hAnsi="Times New Roman" w:cs="Times New Roman"/>
          <w:color w:val="000000" w:themeColor="text1"/>
          <w:sz w:val="24"/>
          <w:szCs w:val="24"/>
        </w:rPr>
        <w:t xml:space="preserve">. To choose one company that can be perfect for acquisition among various companies, there is a need to analyze the financial performance of the companies to </w:t>
      </w:r>
      <w:r w:rsidR="00B32D94" w:rsidRPr="0010477F">
        <w:rPr>
          <w:rFonts w:ascii="Times New Roman" w:hAnsi="Times New Roman" w:cs="Times New Roman"/>
          <w:color w:val="000000" w:themeColor="text1"/>
          <w:sz w:val="24"/>
          <w:szCs w:val="24"/>
        </w:rPr>
        <w:t>choose</w:t>
      </w:r>
      <w:r w:rsidR="000D3492" w:rsidRPr="0010477F">
        <w:rPr>
          <w:rFonts w:ascii="Times New Roman" w:hAnsi="Times New Roman" w:cs="Times New Roman"/>
          <w:color w:val="000000" w:themeColor="text1"/>
          <w:sz w:val="24"/>
          <w:szCs w:val="24"/>
        </w:rPr>
        <w:t xml:space="preserve"> the one that can enhance positive impacts to the </w:t>
      </w:r>
      <w:r w:rsidR="000A6815" w:rsidRPr="0010477F">
        <w:rPr>
          <w:rFonts w:ascii="Times New Roman" w:hAnsi="Times New Roman" w:cs="Times New Roman"/>
          <w:color w:val="000000" w:themeColor="text1"/>
          <w:sz w:val="24"/>
          <w:szCs w:val="24"/>
        </w:rPr>
        <w:t xml:space="preserve">bigger company. </w:t>
      </w:r>
    </w:p>
    <w:p w:rsidR="000A6815" w:rsidRPr="0010477F" w:rsidRDefault="00EB5BCD" w:rsidP="0010477F">
      <w:pPr>
        <w:spacing w:after="0" w:line="480" w:lineRule="auto"/>
        <w:ind w:firstLine="851"/>
        <w:rPr>
          <w:rFonts w:ascii="Times New Roman" w:hAnsi="Times New Roman" w:cs="Times New Roman"/>
          <w:color w:val="000000" w:themeColor="text1"/>
          <w:sz w:val="24"/>
          <w:szCs w:val="24"/>
        </w:rPr>
      </w:pPr>
      <w:r w:rsidRPr="0010477F">
        <w:rPr>
          <w:rFonts w:ascii="Times New Roman" w:hAnsi="Times New Roman" w:cs="Times New Roman"/>
          <w:color w:val="000000" w:themeColor="text1"/>
          <w:sz w:val="24"/>
          <w:szCs w:val="24"/>
        </w:rPr>
        <w:t>A credit rate score is a number that reveals if a company is a good candidate to become a business customer or receive a loan. The credit rate score is calculated based on the obligation of the company's credit and history of repayment linked to the suppliers and lenders. Also, factors such as legal filings which include bankruptcies, judgments, and tax liens are evaluated to enhance the credit score of the company. Three significant firms establish the credit rate score of a company</w:t>
      </w:r>
      <w:r w:rsidR="00497F86" w:rsidRPr="0010477F">
        <w:rPr>
          <w:rFonts w:ascii="Times New Roman" w:hAnsi="Times New Roman" w:cs="Times New Roman"/>
          <w:color w:val="000000" w:themeColor="text1"/>
          <w:sz w:val="24"/>
          <w:szCs w:val="24"/>
        </w:rPr>
        <w:t xml:space="preserve"> which includes Dun and Bradstreet, Experian, and Equifax. Credit score rates for businesses range from 0-100, unlike the customer score which ranges from 300-850</w:t>
      </w:r>
      <w:r w:rsidR="00240D92" w:rsidRPr="0010477F">
        <w:rPr>
          <w:rFonts w:ascii="Times New Roman" w:hAnsi="Times New Roman" w:cs="Times New Roman"/>
          <w:color w:val="000000" w:themeColor="text1"/>
          <w:sz w:val="24"/>
          <w:szCs w:val="24"/>
        </w:rPr>
        <w:t xml:space="preserve"> (</w:t>
      </w:r>
      <w:r w:rsidR="00B32D94" w:rsidRPr="0010477F">
        <w:rPr>
          <w:rFonts w:ascii="Times New Roman" w:hAnsi="Times New Roman" w:cs="Times New Roman"/>
          <w:color w:val="000000" w:themeColor="text1"/>
          <w:sz w:val="24"/>
          <w:szCs w:val="24"/>
          <w:shd w:val="clear" w:color="auto" w:fill="FFFFFF"/>
        </w:rPr>
        <w:t>Cerise, Rogers</w:t>
      </w:r>
      <w:r w:rsidR="00240D92" w:rsidRPr="0010477F">
        <w:rPr>
          <w:rFonts w:ascii="Times New Roman" w:hAnsi="Times New Roman" w:cs="Times New Roman"/>
          <w:color w:val="000000" w:themeColor="text1"/>
          <w:sz w:val="24"/>
          <w:szCs w:val="24"/>
          <w:shd w:val="clear" w:color="auto" w:fill="FFFFFF"/>
        </w:rPr>
        <w:t xml:space="preserve"> &amp; Grant, 2011)</w:t>
      </w:r>
      <w:r w:rsidR="00497F86" w:rsidRPr="0010477F">
        <w:rPr>
          <w:rFonts w:ascii="Times New Roman" w:hAnsi="Times New Roman" w:cs="Times New Roman"/>
          <w:color w:val="000000" w:themeColor="text1"/>
          <w:sz w:val="24"/>
          <w:szCs w:val="24"/>
        </w:rPr>
        <w:t xml:space="preserve">. Regardless of the method used to calculate a credit score, a good credit score will be established by companies that do not incur excess debt, avoid legal trouble and pay bills on time. </w:t>
      </w:r>
      <w:r w:rsidR="0053032F" w:rsidRPr="0010477F">
        <w:rPr>
          <w:rFonts w:ascii="Times New Roman" w:hAnsi="Times New Roman" w:cs="Times New Roman"/>
          <w:color w:val="000000" w:themeColor="text1"/>
          <w:sz w:val="24"/>
          <w:szCs w:val="24"/>
        </w:rPr>
        <w:t xml:space="preserve">Credit rate score is a significant element in evaluating companies. For a company to be successful, trustworthy, integrity, and </w:t>
      </w:r>
      <w:r w:rsidR="0053032F" w:rsidRPr="0010477F">
        <w:rPr>
          <w:rFonts w:ascii="Times New Roman" w:hAnsi="Times New Roman" w:cs="Times New Roman"/>
          <w:color w:val="000000" w:themeColor="text1"/>
          <w:sz w:val="24"/>
          <w:szCs w:val="24"/>
        </w:rPr>
        <w:lastRenderedPageBreak/>
        <w:t xml:space="preserve">honest should be the frontline ethical factors to be considered. When a company has a good credit score, it means that it can access financial support from banks and other financial institutions in time of need to run its business activities. Access to institutions such as </w:t>
      </w:r>
      <w:r w:rsidR="007E54F4" w:rsidRPr="0010477F">
        <w:rPr>
          <w:rFonts w:ascii="Times New Roman" w:hAnsi="Times New Roman" w:cs="Times New Roman"/>
          <w:color w:val="000000" w:themeColor="text1"/>
          <w:sz w:val="24"/>
          <w:szCs w:val="24"/>
        </w:rPr>
        <w:t>large-scale</w:t>
      </w:r>
      <w:r w:rsidR="0053032F" w:rsidRPr="0010477F">
        <w:rPr>
          <w:rFonts w:ascii="Times New Roman" w:hAnsi="Times New Roman" w:cs="Times New Roman"/>
          <w:color w:val="000000" w:themeColor="text1"/>
          <w:sz w:val="24"/>
          <w:szCs w:val="24"/>
        </w:rPr>
        <w:t xml:space="preserve"> lenders, mortgage brokers, and banks is easier for companies with good credit rate scores which enhances their success in business operations. </w:t>
      </w:r>
      <w:r w:rsidR="007E54F4" w:rsidRPr="0010477F">
        <w:rPr>
          <w:rFonts w:ascii="Times New Roman" w:hAnsi="Times New Roman" w:cs="Times New Roman"/>
          <w:color w:val="000000" w:themeColor="text1"/>
          <w:sz w:val="24"/>
          <w:szCs w:val="24"/>
        </w:rPr>
        <w:t xml:space="preserve">Therefore, it should be a factor in evaluating companies. </w:t>
      </w:r>
    </w:p>
    <w:p w:rsidR="007E54F4" w:rsidRPr="0010477F" w:rsidRDefault="00EB5BCD" w:rsidP="0010477F">
      <w:pPr>
        <w:spacing w:after="0" w:line="480" w:lineRule="auto"/>
        <w:ind w:firstLine="851"/>
        <w:rPr>
          <w:rFonts w:ascii="Times New Roman" w:hAnsi="Times New Roman" w:cs="Times New Roman"/>
          <w:color w:val="000000" w:themeColor="text1"/>
          <w:sz w:val="24"/>
          <w:szCs w:val="24"/>
        </w:rPr>
      </w:pPr>
      <w:r w:rsidRPr="0010477F">
        <w:rPr>
          <w:rFonts w:ascii="Times New Roman" w:hAnsi="Times New Roman" w:cs="Times New Roman"/>
          <w:color w:val="000000" w:themeColor="text1"/>
          <w:sz w:val="24"/>
          <w:szCs w:val="24"/>
        </w:rPr>
        <w:t>To determine whether the company needs a long-term or short-term debt, it is significant to evaluate if the company needs the money for long-term or short-term business operations in acquisitions. Since acquisition requires both purchasing and sustenance of the new business that is bought in the industry, there is a need to acquire long term-debt.  More so, long-term have lesser strict obligations than short-term loans. The company can pay the debt for more than one year or even up to 30 years according to the agreement. Long-term finances are used to purchase assets such as equipment and buildings and the assets serve as the collateral of the loan</w:t>
      </w:r>
      <w:r w:rsidR="00701153" w:rsidRPr="0010477F">
        <w:rPr>
          <w:rFonts w:ascii="Times New Roman" w:hAnsi="Times New Roman" w:cs="Times New Roman"/>
          <w:color w:val="000000" w:themeColor="text1"/>
          <w:sz w:val="24"/>
          <w:szCs w:val="24"/>
        </w:rPr>
        <w:t xml:space="preserve"> (</w:t>
      </w:r>
      <w:r w:rsidR="00701153" w:rsidRPr="0010477F">
        <w:rPr>
          <w:rFonts w:ascii="Times New Roman" w:hAnsi="Times New Roman" w:cs="Times New Roman"/>
          <w:color w:val="000000" w:themeColor="text1"/>
          <w:sz w:val="24"/>
          <w:szCs w:val="24"/>
          <w:shd w:val="clear" w:color="auto" w:fill="FFFFFF"/>
        </w:rPr>
        <w:t>Harrison</w:t>
      </w:r>
      <w:r w:rsidR="00B32D94" w:rsidRPr="0010477F">
        <w:rPr>
          <w:rFonts w:ascii="Times New Roman" w:hAnsi="Times New Roman" w:cs="Times New Roman"/>
          <w:color w:val="000000" w:themeColor="text1"/>
          <w:sz w:val="24"/>
          <w:szCs w:val="24"/>
          <w:shd w:val="clear" w:color="auto" w:fill="FFFFFF"/>
        </w:rPr>
        <w:t>, 2016</w:t>
      </w:r>
      <w:r w:rsidR="00701153" w:rsidRPr="0010477F">
        <w:rPr>
          <w:rFonts w:ascii="Times New Roman" w:hAnsi="Times New Roman" w:cs="Times New Roman"/>
          <w:color w:val="000000" w:themeColor="text1"/>
          <w:sz w:val="24"/>
          <w:szCs w:val="24"/>
          <w:shd w:val="clear" w:color="auto" w:fill="FFFFFF"/>
        </w:rPr>
        <w:t>)</w:t>
      </w:r>
      <w:r w:rsidRPr="0010477F">
        <w:rPr>
          <w:rFonts w:ascii="Times New Roman" w:hAnsi="Times New Roman" w:cs="Times New Roman"/>
          <w:color w:val="000000" w:themeColor="text1"/>
          <w:sz w:val="24"/>
          <w:szCs w:val="24"/>
        </w:rPr>
        <w:t xml:space="preserve">. Another significant advantage of long-term loans is low-interest costs because they are secured by the assets. Because the company needs to acquire a small corporation with its assets and operations, the company will be secure in the event where there will be struggles of repaying the money. Short-term loans are used for inventory costs and other temporary supply needs and once they are used, there is no long-term value in the business operation which </w:t>
      </w:r>
      <w:r w:rsidR="007644DF" w:rsidRPr="0010477F">
        <w:rPr>
          <w:rFonts w:ascii="Times New Roman" w:hAnsi="Times New Roman" w:cs="Times New Roman"/>
          <w:color w:val="000000" w:themeColor="text1"/>
          <w:sz w:val="24"/>
          <w:szCs w:val="24"/>
        </w:rPr>
        <w:t xml:space="preserve">is not preferable in the case of an acquisition. </w:t>
      </w:r>
    </w:p>
    <w:p w:rsidR="00493BA8" w:rsidRPr="0010477F" w:rsidRDefault="00EB5BCD" w:rsidP="0010477F">
      <w:pPr>
        <w:spacing w:after="0" w:line="480" w:lineRule="auto"/>
        <w:ind w:firstLine="851"/>
        <w:rPr>
          <w:rFonts w:ascii="Times New Roman" w:hAnsi="Times New Roman" w:cs="Times New Roman"/>
          <w:color w:val="000000" w:themeColor="text1"/>
          <w:sz w:val="24"/>
          <w:szCs w:val="24"/>
        </w:rPr>
      </w:pPr>
      <w:r w:rsidRPr="0010477F">
        <w:rPr>
          <w:rFonts w:ascii="Times New Roman" w:hAnsi="Times New Roman" w:cs="Times New Roman"/>
          <w:color w:val="000000" w:themeColor="text1"/>
          <w:sz w:val="24"/>
          <w:szCs w:val="24"/>
        </w:rPr>
        <w:t>The purchasing power involves the value of the currency which is articulated in terms of the number of services or goods that can be bought by a unit of money. The presence of inflation diminishes the number of goods or services that can be purchased. Inflation decreases the buying power of a currency with time. The impact of inflation is seen in the increase of the prices of goods and services in the economy over time</w:t>
      </w:r>
      <w:r w:rsidR="00EB4C4E" w:rsidRPr="0010477F">
        <w:rPr>
          <w:rFonts w:ascii="Times New Roman" w:hAnsi="Times New Roman" w:cs="Times New Roman"/>
          <w:color w:val="000000" w:themeColor="text1"/>
          <w:sz w:val="24"/>
          <w:szCs w:val="24"/>
        </w:rPr>
        <w:t xml:space="preserve"> (</w:t>
      </w:r>
      <w:r w:rsidR="00EB4C4E" w:rsidRPr="0010477F">
        <w:rPr>
          <w:rFonts w:ascii="Times New Roman" w:hAnsi="Times New Roman" w:cs="Times New Roman"/>
          <w:color w:val="000000" w:themeColor="text1"/>
          <w:sz w:val="24"/>
          <w:szCs w:val="24"/>
          <w:shd w:val="clear" w:color="auto" w:fill="FFFFFF"/>
        </w:rPr>
        <w:t>Basnet &amp; Upadhyaya, 2015)</w:t>
      </w:r>
      <w:r w:rsidRPr="0010477F">
        <w:rPr>
          <w:rFonts w:ascii="Times New Roman" w:hAnsi="Times New Roman" w:cs="Times New Roman"/>
          <w:color w:val="000000" w:themeColor="text1"/>
          <w:sz w:val="24"/>
          <w:szCs w:val="24"/>
        </w:rPr>
        <w:t xml:space="preserve">. Inflation rates will affect the company from acquiring the smaller company as the </w:t>
      </w:r>
      <w:r w:rsidRPr="0010477F">
        <w:rPr>
          <w:rFonts w:ascii="Times New Roman" w:hAnsi="Times New Roman" w:cs="Times New Roman"/>
          <w:color w:val="000000" w:themeColor="text1"/>
          <w:sz w:val="24"/>
          <w:szCs w:val="24"/>
        </w:rPr>
        <w:lastRenderedPageBreak/>
        <w:t xml:space="preserve">buying power will be diminished. It is the sign for the company to evaluate the inflation rates in the economy, to determine the financial support that they need to implement the acquisition of the small company. The presence of inflation will impact the company as it will have to spend more money to acquire the smaller business. </w:t>
      </w:r>
    </w:p>
    <w:p w:rsidR="00493BA8" w:rsidRPr="0010477F" w:rsidRDefault="00EB5BCD" w:rsidP="0010477F">
      <w:pPr>
        <w:spacing w:after="0" w:line="480" w:lineRule="auto"/>
        <w:ind w:firstLine="851"/>
        <w:rPr>
          <w:rFonts w:ascii="Times New Roman" w:hAnsi="Times New Roman" w:cs="Times New Roman"/>
          <w:color w:val="000000" w:themeColor="text1"/>
          <w:sz w:val="24"/>
          <w:szCs w:val="24"/>
        </w:rPr>
      </w:pPr>
      <w:r w:rsidRPr="0010477F">
        <w:rPr>
          <w:rFonts w:ascii="Times New Roman" w:hAnsi="Times New Roman" w:cs="Times New Roman"/>
          <w:color w:val="000000" w:themeColor="text1"/>
          <w:sz w:val="24"/>
          <w:szCs w:val="24"/>
        </w:rPr>
        <w:t>The term structure of interest rates is a graph that plots the yield with similar bonds with time in the X-axis and maturities in the Y-axis. A yield curve is a plot of interest rates (yields) of bonds that have equal credit quality with different maturity rates</w:t>
      </w:r>
      <w:r w:rsidR="002132A5" w:rsidRPr="0010477F">
        <w:rPr>
          <w:rFonts w:ascii="Times New Roman" w:hAnsi="Times New Roman" w:cs="Times New Roman"/>
          <w:color w:val="000000" w:themeColor="text1"/>
          <w:sz w:val="24"/>
          <w:szCs w:val="24"/>
        </w:rPr>
        <w:t xml:space="preserve"> (</w:t>
      </w:r>
      <w:r w:rsidR="002132A5" w:rsidRPr="0010477F">
        <w:rPr>
          <w:rFonts w:ascii="Times New Roman" w:hAnsi="Times New Roman" w:cs="Times New Roman"/>
          <w:color w:val="000000" w:themeColor="text1"/>
          <w:sz w:val="24"/>
          <w:szCs w:val="24"/>
          <w:shd w:val="clear" w:color="auto" w:fill="FFFFFF"/>
        </w:rPr>
        <w:t>Ioannidis &amp; Ka</w:t>
      </w:r>
      <w:r w:rsidR="00B32D94" w:rsidRPr="0010477F">
        <w:rPr>
          <w:rFonts w:ascii="Times New Roman" w:hAnsi="Times New Roman" w:cs="Times New Roman"/>
          <w:color w:val="000000" w:themeColor="text1"/>
          <w:sz w:val="24"/>
          <w:szCs w:val="24"/>
          <w:shd w:val="clear" w:color="auto" w:fill="FFFFFF"/>
        </w:rPr>
        <w:t>, 2018</w:t>
      </w:r>
      <w:r w:rsidR="002132A5" w:rsidRPr="0010477F">
        <w:rPr>
          <w:rFonts w:ascii="Times New Roman" w:hAnsi="Times New Roman" w:cs="Times New Roman"/>
          <w:color w:val="000000" w:themeColor="text1"/>
          <w:sz w:val="24"/>
          <w:szCs w:val="24"/>
          <w:shd w:val="clear" w:color="auto" w:fill="FFFFFF"/>
        </w:rPr>
        <w:t>)</w:t>
      </w:r>
      <w:r w:rsidRPr="0010477F">
        <w:rPr>
          <w:rFonts w:ascii="Times New Roman" w:hAnsi="Times New Roman" w:cs="Times New Roman"/>
          <w:color w:val="000000" w:themeColor="text1"/>
          <w:sz w:val="24"/>
          <w:szCs w:val="24"/>
        </w:rPr>
        <w:t xml:space="preserve">. The relationship between the yield curve and the term structure of interest rates is the presence of different interest rates that are offered by the bonds with different maturities. This factor influences the similarity of the two graphs. More so, the interest rates of the term structure may take one of the three yield curve shapes; flat, inverted, or normal. </w:t>
      </w:r>
      <w:r w:rsidR="0011609B" w:rsidRPr="0010477F">
        <w:rPr>
          <w:rFonts w:ascii="Times New Roman" w:hAnsi="Times New Roman" w:cs="Times New Roman"/>
          <w:color w:val="000000" w:themeColor="text1"/>
          <w:sz w:val="24"/>
          <w:szCs w:val="24"/>
        </w:rPr>
        <w:t xml:space="preserve">If the interest rates of a new process were developed which allows the automobiles to run off oil formulated based on lemonade, the results will be fluctuations in the interest rates. However, the operational costs will be uncertain which could further impact the production costs. </w:t>
      </w:r>
      <w:r w:rsidR="007E7340" w:rsidRPr="0010477F">
        <w:rPr>
          <w:rFonts w:ascii="Times New Roman" w:hAnsi="Times New Roman" w:cs="Times New Roman"/>
          <w:color w:val="000000" w:themeColor="text1"/>
          <w:sz w:val="24"/>
          <w:szCs w:val="24"/>
        </w:rPr>
        <w:t xml:space="preserve">Therefore, the value of the investment would be affected. More so, the automobile demand will be impacted. Hence, the fall in the interest rate will enhance a positive impact on the sale of automobiles thus increasing revenue. </w:t>
      </w:r>
      <w:r w:rsidR="007627A5" w:rsidRPr="0010477F">
        <w:rPr>
          <w:rFonts w:ascii="Times New Roman" w:hAnsi="Times New Roman" w:cs="Times New Roman"/>
          <w:color w:val="000000" w:themeColor="text1"/>
          <w:sz w:val="24"/>
          <w:szCs w:val="24"/>
        </w:rPr>
        <w:t>Technology affects the interest rates of a company significantly. Despite the benefits of technology in converting liquid to gas, there will be an effect of its use in the interest rates acquired by the company. The use of technology means increased production costs which will reduce the interest rates of the company</w:t>
      </w:r>
      <w:r w:rsidR="00133CFC" w:rsidRPr="0010477F">
        <w:rPr>
          <w:rFonts w:ascii="Times New Roman" w:hAnsi="Times New Roman" w:cs="Times New Roman"/>
          <w:color w:val="000000" w:themeColor="text1"/>
          <w:sz w:val="24"/>
          <w:szCs w:val="24"/>
        </w:rPr>
        <w:t xml:space="preserve"> (</w:t>
      </w:r>
      <w:r w:rsidR="00133CFC" w:rsidRPr="0010477F">
        <w:rPr>
          <w:rFonts w:ascii="Times New Roman" w:hAnsi="Times New Roman" w:cs="Times New Roman"/>
          <w:color w:val="000000" w:themeColor="text1"/>
          <w:sz w:val="24"/>
          <w:szCs w:val="24"/>
          <w:shd w:val="clear" w:color="auto" w:fill="FFFFFF"/>
        </w:rPr>
        <w:t>Cologni &amp; Manera, 2018)</w:t>
      </w:r>
      <w:r w:rsidR="007627A5" w:rsidRPr="0010477F">
        <w:rPr>
          <w:rFonts w:ascii="Times New Roman" w:hAnsi="Times New Roman" w:cs="Times New Roman"/>
          <w:color w:val="000000" w:themeColor="text1"/>
          <w:sz w:val="24"/>
          <w:szCs w:val="24"/>
        </w:rPr>
        <w:t xml:space="preserve">. Quick and current ratios can be used to assess the financial health of potential acquisitions. The quick ratio is the most precise measure as it provides indications of the ability of the company to manage short-term responsibilities with money and assets available. A quick ratio of less than 1.0 </w:t>
      </w:r>
      <w:r w:rsidR="005129C6" w:rsidRPr="0010477F">
        <w:rPr>
          <w:rFonts w:ascii="Times New Roman" w:hAnsi="Times New Roman" w:cs="Times New Roman"/>
          <w:color w:val="000000" w:themeColor="text1"/>
          <w:sz w:val="24"/>
          <w:szCs w:val="24"/>
        </w:rPr>
        <w:t xml:space="preserve">indicates that the current assets are lower than current liabilities </w:t>
      </w:r>
      <w:r w:rsidR="005129C6" w:rsidRPr="0010477F">
        <w:rPr>
          <w:rFonts w:ascii="Times New Roman" w:hAnsi="Times New Roman" w:cs="Times New Roman"/>
          <w:color w:val="000000" w:themeColor="text1"/>
          <w:sz w:val="24"/>
          <w:szCs w:val="24"/>
        </w:rPr>
        <w:lastRenderedPageBreak/>
        <w:t xml:space="preserve">which is dangerous to go on with an acquisition. The current ratio provides the company with the knowledge of its ability to pay short term liabilities within a year. </w:t>
      </w:r>
    </w:p>
    <w:p w:rsidR="0010477F" w:rsidRDefault="0010477F" w:rsidP="0010477F">
      <w:pPr>
        <w:spacing w:after="0" w:line="480" w:lineRule="auto"/>
        <w:ind w:firstLine="851"/>
        <w:rPr>
          <w:rFonts w:ascii="Times New Roman" w:hAnsi="Times New Roman" w:cs="Times New Roman"/>
          <w:color w:val="000000" w:themeColor="text1"/>
          <w:sz w:val="24"/>
          <w:szCs w:val="24"/>
        </w:rPr>
      </w:pPr>
    </w:p>
    <w:p w:rsidR="0010477F" w:rsidRDefault="0010477F" w:rsidP="0010477F">
      <w:pPr>
        <w:spacing w:after="0" w:line="480" w:lineRule="auto"/>
        <w:ind w:firstLine="851"/>
        <w:rPr>
          <w:rFonts w:ascii="Times New Roman" w:hAnsi="Times New Roman" w:cs="Times New Roman"/>
          <w:color w:val="000000" w:themeColor="text1"/>
          <w:sz w:val="24"/>
          <w:szCs w:val="24"/>
        </w:rPr>
      </w:pPr>
    </w:p>
    <w:p w:rsidR="0010477F" w:rsidRDefault="0010477F" w:rsidP="0010477F">
      <w:pPr>
        <w:spacing w:after="0" w:line="480" w:lineRule="auto"/>
        <w:ind w:firstLine="851"/>
        <w:rPr>
          <w:rFonts w:ascii="Times New Roman" w:hAnsi="Times New Roman" w:cs="Times New Roman"/>
          <w:color w:val="000000" w:themeColor="text1"/>
          <w:sz w:val="24"/>
          <w:szCs w:val="24"/>
        </w:rPr>
      </w:pPr>
    </w:p>
    <w:p w:rsidR="0010477F" w:rsidRDefault="0010477F" w:rsidP="0010477F">
      <w:pPr>
        <w:spacing w:after="0" w:line="480" w:lineRule="auto"/>
        <w:ind w:firstLine="851"/>
        <w:rPr>
          <w:rFonts w:ascii="Times New Roman" w:hAnsi="Times New Roman" w:cs="Times New Roman"/>
          <w:color w:val="000000" w:themeColor="text1"/>
          <w:sz w:val="24"/>
          <w:szCs w:val="24"/>
        </w:rPr>
      </w:pPr>
    </w:p>
    <w:p w:rsidR="0010477F" w:rsidRDefault="0010477F" w:rsidP="0010477F">
      <w:pPr>
        <w:spacing w:after="0" w:line="480" w:lineRule="auto"/>
        <w:ind w:firstLine="851"/>
        <w:rPr>
          <w:rFonts w:ascii="Times New Roman" w:hAnsi="Times New Roman" w:cs="Times New Roman"/>
          <w:color w:val="000000" w:themeColor="text1"/>
          <w:sz w:val="24"/>
          <w:szCs w:val="24"/>
        </w:rPr>
      </w:pPr>
    </w:p>
    <w:p w:rsidR="0010477F" w:rsidRDefault="0010477F" w:rsidP="0010477F">
      <w:pPr>
        <w:spacing w:after="0" w:line="480" w:lineRule="auto"/>
        <w:ind w:firstLine="851"/>
        <w:rPr>
          <w:rFonts w:ascii="Times New Roman" w:hAnsi="Times New Roman" w:cs="Times New Roman"/>
          <w:color w:val="000000" w:themeColor="text1"/>
          <w:sz w:val="24"/>
          <w:szCs w:val="24"/>
        </w:rPr>
      </w:pPr>
    </w:p>
    <w:p w:rsidR="0010477F" w:rsidRDefault="0010477F" w:rsidP="0010477F">
      <w:pPr>
        <w:spacing w:after="0" w:line="480" w:lineRule="auto"/>
        <w:ind w:firstLine="851"/>
        <w:rPr>
          <w:rFonts w:ascii="Times New Roman" w:hAnsi="Times New Roman" w:cs="Times New Roman"/>
          <w:color w:val="000000" w:themeColor="text1"/>
          <w:sz w:val="24"/>
          <w:szCs w:val="24"/>
        </w:rPr>
      </w:pPr>
    </w:p>
    <w:p w:rsidR="0010477F" w:rsidRDefault="0010477F" w:rsidP="0010477F">
      <w:pPr>
        <w:spacing w:after="0" w:line="480" w:lineRule="auto"/>
        <w:ind w:firstLine="851"/>
        <w:rPr>
          <w:rFonts w:ascii="Times New Roman" w:hAnsi="Times New Roman" w:cs="Times New Roman"/>
          <w:color w:val="000000" w:themeColor="text1"/>
          <w:sz w:val="24"/>
          <w:szCs w:val="24"/>
        </w:rPr>
      </w:pPr>
    </w:p>
    <w:p w:rsidR="0010477F" w:rsidRDefault="0010477F" w:rsidP="0010477F">
      <w:pPr>
        <w:spacing w:after="0" w:line="480" w:lineRule="auto"/>
        <w:ind w:firstLine="851"/>
        <w:rPr>
          <w:rFonts w:ascii="Times New Roman" w:hAnsi="Times New Roman" w:cs="Times New Roman"/>
          <w:color w:val="000000" w:themeColor="text1"/>
          <w:sz w:val="24"/>
          <w:szCs w:val="24"/>
        </w:rPr>
      </w:pPr>
    </w:p>
    <w:p w:rsidR="0010477F" w:rsidRDefault="0010477F" w:rsidP="0010477F">
      <w:pPr>
        <w:spacing w:after="0" w:line="480" w:lineRule="auto"/>
        <w:ind w:firstLine="851"/>
        <w:rPr>
          <w:rFonts w:ascii="Times New Roman" w:hAnsi="Times New Roman" w:cs="Times New Roman"/>
          <w:color w:val="000000" w:themeColor="text1"/>
          <w:sz w:val="24"/>
          <w:szCs w:val="24"/>
        </w:rPr>
      </w:pPr>
    </w:p>
    <w:p w:rsidR="0010477F" w:rsidRDefault="0010477F" w:rsidP="0010477F">
      <w:pPr>
        <w:spacing w:after="0" w:line="480" w:lineRule="auto"/>
        <w:ind w:firstLine="851"/>
        <w:rPr>
          <w:rFonts w:ascii="Times New Roman" w:hAnsi="Times New Roman" w:cs="Times New Roman"/>
          <w:color w:val="000000" w:themeColor="text1"/>
          <w:sz w:val="24"/>
          <w:szCs w:val="24"/>
        </w:rPr>
      </w:pPr>
    </w:p>
    <w:p w:rsidR="0010477F" w:rsidRDefault="0010477F" w:rsidP="0010477F">
      <w:pPr>
        <w:spacing w:after="0" w:line="480" w:lineRule="auto"/>
        <w:ind w:firstLine="851"/>
        <w:rPr>
          <w:rFonts w:ascii="Times New Roman" w:hAnsi="Times New Roman" w:cs="Times New Roman"/>
          <w:color w:val="000000" w:themeColor="text1"/>
          <w:sz w:val="24"/>
          <w:szCs w:val="24"/>
        </w:rPr>
      </w:pPr>
    </w:p>
    <w:p w:rsidR="0010477F" w:rsidRDefault="0010477F" w:rsidP="0010477F">
      <w:pPr>
        <w:spacing w:after="0" w:line="480" w:lineRule="auto"/>
        <w:ind w:firstLine="851"/>
        <w:rPr>
          <w:rFonts w:ascii="Times New Roman" w:hAnsi="Times New Roman" w:cs="Times New Roman"/>
          <w:color w:val="000000" w:themeColor="text1"/>
          <w:sz w:val="24"/>
          <w:szCs w:val="24"/>
        </w:rPr>
      </w:pPr>
    </w:p>
    <w:p w:rsidR="0010477F" w:rsidRDefault="0010477F" w:rsidP="0010477F">
      <w:pPr>
        <w:spacing w:after="0" w:line="480" w:lineRule="auto"/>
        <w:ind w:firstLine="851"/>
        <w:rPr>
          <w:rFonts w:ascii="Times New Roman" w:hAnsi="Times New Roman" w:cs="Times New Roman"/>
          <w:color w:val="000000" w:themeColor="text1"/>
          <w:sz w:val="24"/>
          <w:szCs w:val="24"/>
        </w:rPr>
      </w:pPr>
    </w:p>
    <w:p w:rsidR="0010477F" w:rsidRDefault="0010477F" w:rsidP="0010477F">
      <w:pPr>
        <w:spacing w:after="0" w:line="480" w:lineRule="auto"/>
        <w:ind w:firstLine="851"/>
        <w:rPr>
          <w:rFonts w:ascii="Times New Roman" w:hAnsi="Times New Roman" w:cs="Times New Roman"/>
          <w:color w:val="000000" w:themeColor="text1"/>
          <w:sz w:val="24"/>
          <w:szCs w:val="24"/>
        </w:rPr>
      </w:pPr>
    </w:p>
    <w:p w:rsidR="0010477F" w:rsidRDefault="0010477F" w:rsidP="0010477F">
      <w:pPr>
        <w:spacing w:after="0" w:line="480" w:lineRule="auto"/>
        <w:ind w:firstLine="851"/>
        <w:rPr>
          <w:rFonts w:ascii="Times New Roman" w:hAnsi="Times New Roman" w:cs="Times New Roman"/>
          <w:color w:val="000000" w:themeColor="text1"/>
          <w:sz w:val="24"/>
          <w:szCs w:val="24"/>
        </w:rPr>
      </w:pPr>
    </w:p>
    <w:p w:rsidR="0010477F" w:rsidRDefault="0010477F" w:rsidP="0010477F">
      <w:pPr>
        <w:spacing w:after="0" w:line="480" w:lineRule="auto"/>
        <w:ind w:firstLine="851"/>
        <w:rPr>
          <w:rFonts w:ascii="Times New Roman" w:hAnsi="Times New Roman" w:cs="Times New Roman"/>
          <w:color w:val="000000" w:themeColor="text1"/>
          <w:sz w:val="24"/>
          <w:szCs w:val="24"/>
        </w:rPr>
      </w:pPr>
    </w:p>
    <w:p w:rsidR="0010477F" w:rsidRDefault="0010477F" w:rsidP="0010477F">
      <w:pPr>
        <w:spacing w:after="0" w:line="480" w:lineRule="auto"/>
        <w:ind w:firstLine="851"/>
        <w:rPr>
          <w:rFonts w:ascii="Times New Roman" w:hAnsi="Times New Roman" w:cs="Times New Roman"/>
          <w:color w:val="000000" w:themeColor="text1"/>
          <w:sz w:val="24"/>
          <w:szCs w:val="24"/>
        </w:rPr>
      </w:pPr>
    </w:p>
    <w:p w:rsidR="0010477F" w:rsidRDefault="0010477F" w:rsidP="0010477F">
      <w:pPr>
        <w:spacing w:after="0" w:line="480" w:lineRule="auto"/>
        <w:ind w:firstLine="851"/>
        <w:rPr>
          <w:rFonts w:ascii="Times New Roman" w:hAnsi="Times New Roman" w:cs="Times New Roman"/>
          <w:color w:val="000000" w:themeColor="text1"/>
          <w:sz w:val="24"/>
          <w:szCs w:val="24"/>
        </w:rPr>
      </w:pPr>
    </w:p>
    <w:p w:rsidR="0010477F" w:rsidRDefault="0010477F" w:rsidP="0010477F">
      <w:pPr>
        <w:spacing w:after="0" w:line="480" w:lineRule="auto"/>
        <w:ind w:firstLine="851"/>
        <w:rPr>
          <w:rFonts w:ascii="Times New Roman" w:hAnsi="Times New Roman" w:cs="Times New Roman"/>
          <w:color w:val="000000" w:themeColor="text1"/>
          <w:sz w:val="24"/>
          <w:szCs w:val="24"/>
        </w:rPr>
      </w:pPr>
    </w:p>
    <w:p w:rsidR="0010477F" w:rsidRDefault="0010477F" w:rsidP="0010477F">
      <w:pPr>
        <w:spacing w:after="0" w:line="480" w:lineRule="auto"/>
        <w:ind w:firstLine="851"/>
        <w:rPr>
          <w:rFonts w:ascii="Times New Roman" w:hAnsi="Times New Roman" w:cs="Times New Roman"/>
          <w:color w:val="000000" w:themeColor="text1"/>
          <w:sz w:val="24"/>
          <w:szCs w:val="24"/>
        </w:rPr>
      </w:pPr>
    </w:p>
    <w:p w:rsidR="0010477F" w:rsidRDefault="0010477F" w:rsidP="0010477F">
      <w:pPr>
        <w:spacing w:after="0" w:line="480" w:lineRule="auto"/>
        <w:ind w:firstLine="851"/>
        <w:rPr>
          <w:rFonts w:ascii="Times New Roman" w:hAnsi="Times New Roman" w:cs="Times New Roman"/>
          <w:color w:val="000000" w:themeColor="text1"/>
          <w:sz w:val="24"/>
          <w:szCs w:val="24"/>
        </w:rPr>
      </w:pPr>
    </w:p>
    <w:p w:rsidR="0010477F" w:rsidRDefault="0010477F" w:rsidP="0010477F">
      <w:pPr>
        <w:spacing w:after="0" w:line="480" w:lineRule="auto"/>
        <w:ind w:firstLine="851"/>
        <w:rPr>
          <w:rFonts w:ascii="Times New Roman" w:hAnsi="Times New Roman" w:cs="Times New Roman"/>
          <w:color w:val="000000" w:themeColor="text1"/>
          <w:sz w:val="24"/>
          <w:szCs w:val="24"/>
        </w:rPr>
      </w:pPr>
    </w:p>
    <w:p w:rsidR="0010477F" w:rsidRPr="0010477F" w:rsidRDefault="00EB5BCD" w:rsidP="0010477F">
      <w:pPr>
        <w:spacing w:after="0" w:line="480" w:lineRule="auto"/>
        <w:ind w:firstLine="851"/>
        <w:jc w:val="center"/>
        <w:rPr>
          <w:rFonts w:ascii="Times New Roman" w:hAnsi="Times New Roman" w:cs="Times New Roman"/>
          <w:b/>
          <w:bCs/>
          <w:color w:val="000000" w:themeColor="text1"/>
          <w:sz w:val="24"/>
          <w:szCs w:val="24"/>
        </w:rPr>
      </w:pPr>
      <w:r w:rsidRPr="0010477F">
        <w:rPr>
          <w:rFonts w:ascii="Times New Roman" w:hAnsi="Times New Roman" w:cs="Times New Roman"/>
          <w:b/>
          <w:bCs/>
          <w:color w:val="000000" w:themeColor="text1"/>
          <w:sz w:val="24"/>
          <w:szCs w:val="24"/>
        </w:rPr>
        <w:lastRenderedPageBreak/>
        <w:t>References</w:t>
      </w:r>
    </w:p>
    <w:p w:rsidR="0010477F" w:rsidRPr="0010477F" w:rsidRDefault="00EB5BCD" w:rsidP="0010477F">
      <w:pPr>
        <w:spacing w:after="0" w:line="480" w:lineRule="auto"/>
        <w:ind w:left="851" w:hanging="851"/>
        <w:rPr>
          <w:rFonts w:ascii="Times New Roman" w:hAnsi="Times New Roman" w:cs="Times New Roman"/>
          <w:color w:val="000000" w:themeColor="text1"/>
          <w:sz w:val="24"/>
          <w:szCs w:val="24"/>
          <w:shd w:val="clear" w:color="auto" w:fill="FFFFFF"/>
        </w:rPr>
      </w:pPr>
      <w:r w:rsidRPr="0010477F">
        <w:rPr>
          <w:rFonts w:ascii="Times New Roman" w:hAnsi="Times New Roman" w:cs="Times New Roman"/>
          <w:color w:val="000000" w:themeColor="text1"/>
          <w:sz w:val="24"/>
          <w:szCs w:val="24"/>
          <w:shd w:val="clear" w:color="auto" w:fill="FFFFFF"/>
        </w:rPr>
        <w:t xml:space="preserve">Basnet, H. C., &amp; Upadhyaya, K. P. (2015). Impact of oil price shocks on output, inflation, and the real exchange rate: evidence from selected ASEAN countries. </w:t>
      </w:r>
      <w:r w:rsidRPr="0010477F">
        <w:rPr>
          <w:rFonts w:ascii="Times New Roman" w:hAnsi="Times New Roman" w:cs="Times New Roman"/>
          <w:i/>
          <w:iCs/>
          <w:color w:val="000000" w:themeColor="text1"/>
          <w:sz w:val="24"/>
          <w:szCs w:val="24"/>
          <w:shd w:val="clear" w:color="auto" w:fill="FFFFFF"/>
        </w:rPr>
        <w:t>Applied Economics</w:t>
      </w:r>
      <w:r w:rsidRPr="0010477F">
        <w:rPr>
          <w:rFonts w:ascii="Times New Roman" w:hAnsi="Times New Roman" w:cs="Times New Roman"/>
          <w:color w:val="000000" w:themeColor="text1"/>
          <w:sz w:val="24"/>
          <w:szCs w:val="24"/>
          <w:shd w:val="clear" w:color="auto" w:fill="FFFFFF"/>
        </w:rPr>
        <w:t>, </w:t>
      </w:r>
      <w:r w:rsidRPr="0010477F">
        <w:rPr>
          <w:rFonts w:ascii="Times New Roman" w:hAnsi="Times New Roman" w:cs="Times New Roman"/>
          <w:i/>
          <w:iCs/>
          <w:color w:val="000000" w:themeColor="text1"/>
          <w:sz w:val="24"/>
          <w:szCs w:val="24"/>
          <w:shd w:val="clear" w:color="auto" w:fill="FFFFFF"/>
        </w:rPr>
        <w:t>47</w:t>
      </w:r>
      <w:r w:rsidRPr="0010477F">
        <w:rPr>
          <w:rFonts w:ascii="Times New Roman" w:hAnsi="Times New Roman" w:cs="Times New Roman"/>
          <w:color w:val="000000" w:themeColor="text1"/>
          <w:sz w:val="24"/>
          <w:szCs w:val="24"/>
          <w:shd w:val="clear" w:color="auto" w:fill="FFFFFF"/>
        </w:rPr>
        <w:t>(29), 3078-3091.</w:t>
      </w:r>
    </w:p>
    <w:p w:rsidR="0010477F" w:rsidRPr="0010477F" w:rsidRDefault="00EB5BCD" w:rsidP="0010477F">
      <w:pPr>
        <w:spacing w:after="0" w:line="480" w:lineRule="auto"/>
        <w:ind w:left="851" w:hanging="851"/>
        <w:rPr>
          <w:rFonts w:ascii="Times New Roman" w:hAnsi="Times New Roman" w:cs="Times New Roman"/>
          <w:color w:val="000000" w:themeColor="text1"/>
          <w:sz w:val="24"/>
          <w:szCs w:val="24"/>
          <w:shd w:val="clear" w:color="auto" w:fill="FFFFFF"/>
        </w:rPr>
      </w:pPr>
      <w:r w:rsidRPr="0010477F">
        <w:rPr>
          <w:rFonts w:ascii="Times New Roman" w:hAnsi="Times New Roman" w:cs="Times New Roman"/>
          <w:color w:val="000000" w:themeColor="text1"/>
          <w:sz w:val="24"/>
          <w:szCs w:val="24"/>
          <w:shd w:val="clear" w:color="auto" w:fill="FFFFFF"/>
        </w:rPr>
        <w:t>Cerise, N., Rogers, M. W., &amp; Grant, W. R. (2011). </w:t>
      </w:r>
      <w:r w:rsidRPr="0010477F">
        <w:rPr>
          <w:rFonts w:ascii="Times New Roman" w:hAnsi="Times New Roman" w:cs="Times New Roman"/>
          <w:i/>
          <w:iCs/>
          <w:color w:val="000000" w:themeColor="text1"/>
          <w:sz w:val="24"/>
          <w:szCs w:val="24"/>
          <w:shd w:val="clear" w:color="auto" w:fill="FFFFFF"/>
        </w:rPr>
        <w:t>U.S. Patent No. 8,078,527</w:t>
      </w:r>
      <w:r w:rsidRPr="0010477F">
        <w:rPr>
          <w:rFonts w:ascii="Times New Roman" w:hAnsi="Times New Roman" w:cs="Times New Roman"/>
          <w:color w:val="000000" w:themeColor="text1"/>
          <w:sz w:val="24"/>
          <w:szCs w:val="24"/>
          <w:shd w:val="clear" w:color="auto" w:fill="FFFFFF"/>
        </w:rPr>
        <w:t>. Washington, DC: U.S. Patent and Trademark Office.</w:t>
      </w:r>
    </w:p>
    <w:p w:rsidR="0010477F" w:rsidRPr="0010477F" w:rsidRDefault="00EB5BCD" w:rsidP="0010477F">
      <w:pPr>
        <w:spacing w:after="0" w:line="480" w:lineRule="auto"/>
        <w:ind w:left="851" w:hanging="851"/>
        <w:rPr>
          <w:rFonts w:ascii="Times New Roman" w:hAnsi="Times New Roman" w:cs="Times New Roman"/>
          <w:color w:val="000000" w:themeColor="text1"/>
          <w:sz w:val="24"/>
          <w:szCs w:val="24"/>
          <w:shd w:val="clear" w:color="auto" w:fill="FFFFFF"/>
        </w:rPr>
      </w:pPr>
      <w:r w:rsidRPr="0010477F">
        <w:rPr>
          <w:rFonts w:ascii="Times New Roman" w:hAnsi="Times New Roman" w:cs="Times New Roman"/>
          <w:color w:val="000000" w:themeColor="text1"/>
          <w:sz w:val="24"/>
          <w:szCs w:val="24"/>
          <w:shd w:val="clear" w:color="auto" w:fill="FFFFFF"/>
        </w:rPr>
        <w:t xml:space="preserve">Cologni, A., &amp; Manera, M. (2018). Oil prices, inflation, and interest rates in a structural cointegrated VAR model for the G-7 countries. </w:t>
      </w:r>
      <w:r w:rsidRPr="0010477F">
        <w:rPr>
          <w:rFonts w:ascii="Times New Roman" w:hAnsi="Times New Roman" w:cs="Times New Roman"/>
          <w:i/>
          <w:iCs/>
          <w:color w:val="000000" w:themeColor="text1"/>
          <w:sz w:val="24"/>
          <w:szCs w:val="24"/>
          <w:shd w:val="clear" w:color="auto" w:fill="FFFFFF"/>
        </w:rPr>
        <w:t>Energy Economics</w:t>
      </w:r>
      <w:r w:rsidRPr="0010477F">
        <w:rPr>
          <w:rFonts w:ascii="Times New Roman" w:hAnsi="Times New Roman" w:cs="Times New Roman"/>
          <w:color w:val="000000" w:themeColor="text1"/>
          <w:sz w:val="24"/>
          <w:szCs w:val="24"/>
          <w:shd w:val="clear" w:color="auto" w:fill="FFFFFF"/>
        </w:rPr>
        <w:t>, </w:t>
      </w:r>
      <w:r w:rsidRPr="0010477F">
        <w:rPr>
          <w:rFonts w:ascii="Times New Roman" w:hAnsi="Times New Roman" w:cs="Times New Roman"/>
          <w:i/>
          <w:iCs/>
          <w:color w:val="000000" w:themeColor="text1"/>
          <w:sz w:val="24"/>
          <w:szCs w:val="24"/>
          <w:shd w:val="clear" w:color="auto" w:fill="FFFFFF"/>
        </w:rPr>
        <w:t>30</w:t>
      </w:r>
      <w:r w:rsidRPr="0010477F">
        <w:rPr>
          <w:rFonts w:ascii="Times New Roman" w:hAnsi="Times New Roman" w:cs="Times New Roman"/>
          <w:color w:val="000000" w:themeColor="text1"/>
          <w:sz w:val="24"/>
          <w:szCs w:val="24"/>
          <w:shd w:val="clear" w:color="auto" w:fill="FFFFFF"/>
        </w:rPr>
        <w:t>(3), 856-888.</w:t>
      </w:r>
    </w:p>
    <w:p w:rsidR="0010477F" w:rsidRPr="0010477F" w:rsidRDefault="00EB5BCD" w:rsidP="0010477F">
      <w:pPr>
        <w:spacing w:after="0" w:line="480" w:lineRule="auto"/>
        <w:ind w:left="851" w:hanging="851"/>
        <w:rPr>
          <w:rFonts w:ascii="Times New Roman" w:hAnsi="Times New Roman" w:cs="Times New Roman"/>
          <w:color w:val="000000" w:themeColor="text1"/>
          <w:sz w:val="24"/>
          <w:szCs w:val="24"/>
          <w:shd w:val="clear" w:color="auto" w:fill="FFFFFF"/>
        </w:rPr>
      </w:pPr>
      <w:r w:rsidRPr="0010477F">
        <w:rPr>
          <w:rFonts w:ascii="Times New Roman" w:hAnsi="Times New Roman" w:cs="Times New Roman"/>
          <w:color w:val="000000" w:themeColor="text1"/>
          <w:sz w:val="24"/>
          <w:szCs w:val="24"/>
          <w:shd w:val="clear" w:color="auto" w:fill="FFFFFF"/>
        </w:rPr>
        <w:t>Gaughan, P. A. (2010). </w:t>
      </w:r>
      <w:r w:rsidRPr="0010477F">
        <w:rPr>
          <w:rFonts w:ascii="Times New Roman" w:hAnsi="Times New Roman" w:cs="Times New Roman"/>
          <w:i/>
          <w:iCs/>
          <w:color w:val="000000" w:themeColor="text1"/>
          <w:sz w:val="24"/>
          <w:szCs w:val="24"/>
          <w:shd w:val="clear" w:color="auto" w:fill="FFFFFF"/>
        </w:rPr>
        <w:t>Mergers, acquisitions, and corporate restructurings</w:t>
      </w:r>
      <w:r w:rsidRPr="0010477F">
        <w:rPr>
          <w:rFonts w:ascii="Times New Roman" w:hAnsi="Times New Roman" w:cs="Times New Roman"/>
          <w:color w:val="000000" w:themeColor="text1"/>
          <w:sz w:val="24"/>
          <w:szCs w:val="24"/>
          <w:shd w:val="clear" w:color="auto" w:fill="FFFFFF"/>
        </w:rPr>
        <w:t>. John Wiley &amp; Sons.</w:t>
      </w:r>
    </w:p>
    <w:p w:rsidR="0010477F" w:rsidRPr="0010477F" w:rsidRDefault="00EB5BCD" w:rsidP="0010477F">
      <w:pPr>
        <w:spacing w:after="0" w:line="480" w:lineRule="auto"/>
        <w:ind w:left="851" w:hanging="851"/>
        <w:rPr>
          <w:rFonts w:ascii="Times New Roman" w:hAnsi="Times New Roman" w:cs="Times New Roman"/>
          <w:color w:val="000000" w:themeColor="text1"/>
          <w:sz w:val="24"/>
          <w:szCs w:val="24"/>
          <w:shd w:val="clear" w:color="auto" w:fill="FFFFFF"/>
        </w:rPr>
      </w:pPr>
      <w:r w:rsidRPr="0010477F">
        <w:rPr>
          <w:rFonts w:ascii="Times New Roman" w:hAnsi="Times New Roman" w:cs="Times New Roman"/>
          <w:color w:val="000000" w:themeColor="text1"/>
          <w:sz w:val="24"/>
          <w:szCs w:val="24"/>
          <w:shd w:val="clear" w:color="auto" w:fill="FFFFFF"/>
        </w:rPr>
        <w:t>Harrison, C. S. (2016). </w:t>
      </w:r>
      <w:r w:rsidRPr="0010477F">
        <w:rPr>
          <w:rFonts w:ascii="Times New Roman" w:hAnsi="Times New Roman" w:cs="Times New Roman"/>
          <w:i/>
          <w:iCs/>
          <w:color w:val="000000" w:themeColor="text1"/>
          <w:sz w:val="24"/>
          <w:szCs w:val="24"/>
          <w:shd w:val="clear" w:color="auto" w:fill="FFFFFF"/>
        </w:rPr>
        <w:t>Make the Deal: Negotiating Mergers and Acquisitions</w:t>
      </w:r>
      <w:r w:rsidRPr="0010477F">
        <w:rPr>
          <w:rFonts w:ascii="Times New Roman" w:hAnsi="Times New Roman" w:cs="Times New Roman"/>
          <w:color w:val="000000" w:themeColor="text1"/>
          <w:sz w:val="24"/>
          <w:szCs w:val="24"/>
          <w:shd w:val="clear" w:color="auto" w:fill="FFFFFF"/>
        </w:rPr>
        <w:t>. John Wiley &amp; Sons.</w:t>
      </w:r>
    </w:p>
    <w:p w:rsidR="0010477F" w:rsidRPr="0010477F" w:rsidRDefault="00EB5BCD" w:rsidP="0010477F">
      <w:pPr>
        <w:spacing w:after="0" w:line="480" w:lineRule="auto"/>
        <w:ind w:left="851" w:hanging="851"/>
        <w:rPr>
          <w:rFonts w:ascii="Times New Roman" w:hAnsi="Times New Roman" w:cs="Times New Roman"/>
          <w:color w:val="000000" w:themeColor="text1"/>
          <w:sz w:val="24"/>
          <w:szCs w:val="24"/>
          <w:shd w:val="clear" w:color="auto" w:fill="FFFFFF"/>
        </w:rPr>
      </w:pPr>
      <w:r w:rsidRPr="0010477F">
        <w:rPr>
          <w:rFonts w:ascii="Times New Roman" w:hAnsi="Times New Roman" w:cs="Times New Roman"/>
          <w:color w:val="000000" w:themeColor="text1"/>
          <w:sz w:val="24"/>
          <w:szCs w:val="24"/>
          <w:shd w:val="clear" w:color="auto" w:fill="FFFFFF"/>
        </w:rPr>
        <w:t>Ioannidis, C., &amp; Ka, K. (2018). The impact of oil price shocks on the term structure of interest rates. </w:t>
      </w:r>
      <w:r w:rsidRPr="0010477F">
        <w:rPr>
          <w:rFonts w:ascii="Times New Roman" w:hAnsi="Times New Roman" w:cs="Times New Roman"/>
          <w:i/>
          <w:iCs/>
          <w:color w:val="000000" w:themeColor="text1"/>
          <w:sz w:val="24"/>
          <w:szCs w:val="24"/>
          <w:shd w:val="clear" w:color="auto" w:fill="FFFFFF"/>
        </w:rPr>
        <w:t>Energy Economics</w:t>
      </w:r>
      <w:r w:rsidRPr="0010477F">
        <w:rPr>
          <w:rFonts w:ascii="Times New Roman" w:hAnsi="Times New Roman" w:cs="Times New Roman"/>
          <w:color w:val="000000" w:themeColor="text1"/>
          <w:sz w:val="24"/>
          <w:szCs w:val="24"/>
          <w:shd w:val="clear" w:color="auto" w:fill="FFFFFF"/>
        </w:rPr>
        <w:t>, </w:t>
      </w:r>
      <w:r w:rsidRPr="0010477F">
        <w:rPr>
          <w:rFonts w:ascii="Times New Roman" w:hAnsi="Times New Roman" w:cs="Times New Roman"/>
          <w:i/>
          <w:iCs/>
          <w:color w:val="000000" w:themeColor="text1"/>
          <w:sz w:val="24"/>
          <w:szCs w:val="24"/>
          <w:shd w:val="clear" w:color="auto" w:fill="FFFFFF"/>
        </w:rPr>
        <w:t>72</w:t>
      </w:r>
      <w:r w:rsidRPr="0010477F">
        <w:rPr>
          <w:rFonts w:ascii="Times New Roman" w:hAnsi="Times New Roman" w:cs="Times New Roman"/>
          <w:color w:val="000000" w:themeColor="text1"/>
          <w:sz w:val="24"/>
          <w:szCs w:val="24"/>
          <w:shd w:val="clear" w:color="auto" w:fill="FFFFFF"/>
        </w:rPr>
        <w:t>, 601-620.</w:t>
      </w:r>
    </w:p>
    <w:sectPr w:rsidR="0010477F" w:rsidRPr="0010477F" w:rsidSect="007659E4">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5EDD" w:rsidRDefault="00705EDD">
      <w:pPr>
        <w:spacing w:after="0" w:line="240" w:lineRule="auto"/>
      </w:pPr>
      <w:r>
        <w:separator/>
      </w:r>
    </w:p>
  </w:endnote>
  <w:endnote w:type="continuationSeparator" w:id="1">
    <w:p w:rsidR="00705EDD" w:rsidRDefault="00705E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5EDD" w:rsidRDefault="00705EDD">
      <w:pPr>
        <w:spacing w:after="0" w:line="240" w:lineRule="auto"/>
      </w:pPr>
      <w:r>
        <w:separator/>
      </w:r>
    </w:p>
  </w:footnote>
  <w:footnote w:type="continuationSeparator" w:id="1">
    <w:p w:rsidR="00705EDD" w:rsidRDefault="00705E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5470057"/>
      <w:docPartObj>
        <w:docPartGallery w:val="Page Numbers (Top of Page)"/>
        <w:docPartUnique/>
      </w:docPartObj>
    </w:sdtPr>
    <w:sdtEndPr>
      <w:rPr>
        <w:rFonts w:ascii="Times New Roman" w:hAnsi="Times New Roman" w:cs="Times New Roman"/>
        <w:noProof/>
        <w:color w:val="000000" w:themeColor="text1"/>
        <w:sz w:val="24"/>
        <w:szCs w:val="24"/>
      </w:rPr>
    </w:sdtEndPr>
    <w:sdtContent>
      <w:p w:rsidR="0010477F" w:rsidRPr="0010477F" w:rsidRDefault="00B918BA">
        <w:pPr>
          <w:pStyle w:val="Header"/>
          <w:jc w:val="right"/>
          <w:rPr>
            <w:rFonts w:ascii="Times New Roman" w:hAnsi="Times New Roman" w:cs="Times New Roman"/>
            <w:color w:val="000000" w:themeColor="text1"/>
            <w:sz w:val="24"/>
            <w:szCs w:val="24"/>
          </w:rPr>
        </w:pPr>
        <w:r w:rsidRPr="0010477F">
          <w:rPr>
            <w:rFonts w:ascii="Times New Roman" w:hAnsi="Times New Roman" w:cs="Times New Roman"/>
            <w:color w:val="000000" w:themeColor="text1"/>
            <w:sz w:val="24"/>
            <w:szCs w:val="24"/>
          </w:rPr>
          <w:fldChar w:fldCharType="begin"/>
        </w:r>
        <w:r w:rsidR="00EB5BCD" w:rsidRPr="0010477F">
          <w:rPr>
            <w:rFonts w:ascii="Times New Roman" w:hAnsi="Times New Roman" w:cs="Times New Roman"/>
            <w:color w:val="000000" w:themeColor="text1"/>
            <w:sz w:val="24"/>
            <w:szCs w:val="24"/>
          </w:rPr>
          <w:instrText xml:space="preserve"> PAGE   \* MERGEFORMAT </w:instrText>
        </w:r>
        <w:r w:rsidRPr="0010477F">
          <w:rPr>
            <w:rFonts w:ascii="Times New Roman" w:hAnsi="Times New Roman" w:cs="Times New Roman"/>
            <w:color w:val="000000" w:themeColor="text1"/>
            <w:sz w:val="24"/>
            <w:szCs w:val="24"/>
          </w:rPr>
          <w:fldChar w:fldCharType="separate"/>
        </w:r>
        <w:r w:rsidR="004F63B2">
          <w:rPr>
            <w:rFonts w:ascii="Times New Roman" w:hAnsi="Times New Roman" w:cs="Times New Roman"/>
            <w:noProof/>
            <w:color w:val="000000" w:themeColor="text1"/>
            <w:sz w:val="24"/>
            <w:szCs w:val="24"/>
          </w:rPr>
          <w:t>6</w:t>
        </w:r>
        <w:r w:rsidRPr="0010477F">
          <w:rPr>
            <w:rFonts w:ascii="Times New Roman" w:hAnsi="Times New Roman" w:cs="Times New Roman"/>
            <w:noProof/>
            <w:color w:val="000000" w:themeColor="text1"/>
            <w:sz w:val="24"/>
            <w:szCs w:val="24"/>
          </w:rPr>
          <w:fldChar w:fldCharType="end"/>
        </w:r>
      </w:p>
    </w:sdtContent>
  </w:sdt>
  <w:p w:rsidR="0010477F" w:rsidRDefault="0010477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063CB"/>
    <w:rsid w:val="000A6815"/>
    <w:rsid w:val="000C0B8B"/>
    <w:rsid w:val="000C6278"/>
    <w:rsid w:val="000D3492"/>
    <w:rsid w:val="0010477F"/>
    <w:rsid w:val="0011609B"/>
    <w:rsid w:val="00133CFC"/>
    <w:rsid w:val="00153B65"/>
    <w:rsid w:val="002132A5"/>
    <w:rsid w:val="00240D92"/>
    <w:rsid w:val="003063CB"/>
    <w:rsid w:val="00493BA8"/>
    <w:rsid w:val="00497F86"/>
    <w:rsid w:val="004F63B2"/>
    <w:rsid w:val="005129C6"/>
    <w:rsid w:val="0053032F"/>
    <w:rsid w:val="00701153"/>
    <w:rsid w:val="00705EDD"/>
    <w:rsid w:val="0071243E"/>
    <w:rsid w:val="007627A5"/>
    <w:rsid w:val="007644DF"/>
    <w:rsid w:val="007659E4"/>
    <w:rsid w:val="007E54F4"/>
    <w:rsid w:val="007E7340"/>
    <w:rsid w:val="00B32D94"/>
    <w:rsid w:val="00B918BA"/>
    <w:rsid w:val="00C103EC"/>
    <w:rsid w:val="00CE2CE9"/>
    <w:rsid w:val="00EB4C4E"/>
    <w:rsid w:val="00EB5B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9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47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477F"/>
  </w:style>
  <w:style w:type="paragraph" w:styleId="Footer">
    <w:name w:val="footer"/>
    <w:basedOn w:val="Normal"/>
    <w:link w:val="FooterChar"/>
    <w:uiPriority w:val="99"/>
    <w:unhideWhenUsed/>
    <w:rsid w:val="001047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477F"/>
  </w:style>
  <w:style w:type="paragraph" w:styleId="NoSpacing">
    <w:name w:val="No Spacing"/>
    <w:uiPriority w:val="1"/>
    <w:qFormat/>
    <w:rsid w:val="00153B6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1139</Words>
  <Characters>6496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2021-01-22T12:24:00Z</dcterms:created>
  <dcterms:modified xsi:type="dcterms:W3CDTF">2021-01-22T12:24:00Z</dcterms:modified>
</cp:coreProperties>
</file>