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8E1900">
      <w:pPr>
        <w:rPr>
          <w:rFonts w:ascii="Times New Roman" w:hAnsi="Times New Roman" w:cs="Times New Roman"/>
        </w:rPr>
      </w:pPr>
    </w:p>
    <w:p w14:paraId="1C6BDF2F" w14:textId="77777777" w:rsidR="00785867" w:rsidRPr="00605835" w:rsidRDefault="00785867" w:rsidP="008E1900">
      <w:pPr>
        <w:rPr>
          <w:rFonts w:ascii="Times New Roman" w:hAnsi="Times New Roman" w:cs="Times New Roman"/>
        </w:rPr>
      </w:pPr>
    </w:p>
    <w:p w14:paraId="715DBD47" w14:textId="77777777" w:rsidR="00785867" w:rsidRPr="00605835" w:rsidRDefault="00785867" w:rsidP="008E1900">
      <w:pPr>
        <w:rPr>
          <w:rFonts w:ascii="Times New Roman" w:hAnsi="Times New Roman" w:cs="Times New Roman"/>
        </w:rPr>
      </w:pPr>
    </w:p>
    <w:p w14:paraId="34333744" w14:textId="77777777" w:rsidR="00785867" w:rsidRPr="00605835" w:rsidRDefault="00785867" w:rsidP="008E1900">
      <w:pPr>
        <w:rPr>
          <w:rFonts w:ascii="Times New Roman" w:hAnsi="Times New Roman" w:cs="Times New Roman"/>
        </w:rPr>
      </w:pPr>
    </w:p>
    <w:p w14:paraId="2BDC09E4" w14:textId="77777777" w:rsidR="00EB457A" w:rsidRPr="00605835" w:rsidRDefault="00EB457A" w:rsidP="008E1900">
      <w:pPr>
        <w:rPr>
          <w:rFonts w:ascii="Times New Roman" w:hAnsi="Times New Roman" w:cs="Times New Roman"/>
        </w:rPr>
      </w:pPr>
    </w:p>
    <w:p w14:paraId="33742FAB" w14:textId="77777777" w:rsidR="00EB457A" w:rsidRPr="00605835" w:rsidRDefault="00EB457A" w:rsidP="008E1900">
      <w:pPr>
        <w:rPr>
          <w:rFonts w:ascii="Times New Roman" w:hAnsi="Times New Roman" w:cs="Times New Roman"/>
        </w:rPr>
      </w:pPr>
    </w:p>
    <w:p w14:paraId="0B5583AC" w14:textId="77777777" w:rsidR="00EB457A" w:rsidRPr="00605835" w:rsidRDefault="00EB457A" w:rsidP="008E1900">
      <w:pPr>
        <w:rPr>
          <w:rFonts w:ascii="Times New Roman" w:hAnsi="Times New Roman" w:cs="Times New Roman"/>
        </w:rPr>
      </w:pPr>
    </w:p>
    <w:p w14:paraId="6AA91B13" w14:textId="77777777" w:rsidR="00785867" w:rsidRPr="00605835" w:rsidRDefault="00785867" w:rsidP="008E1900">
      <w:pPr>
        <w:rPr>
          <w:rFonts w:ascii="Times New Roman" w:hAnsi="Times New Roman" w:cs="Times New Roman"/>
        </w:rPr>
      </w:pPr>
    </w:p>
    <w:p w14:paraId="2821F63E" w14:textId="3BDD6CD8" w:rsidR="00A64F0F" w:rsidRPr="00605835" w:rsidRDefault="001B6BC3" w:rsidP="008E1900">
      <w:pPr>
        <w:jc w:val="center"/>
        <w:rPr>
          <w:rFonts w:ascii="Times New Roman" w:hAnsi="Times New Roman" w:cs="Times New Roman"/>
        </w:rPr>
      </w:pPr>
      <w:r>
        <w:rPr>
          <w:rFonts w:ascii="Times New Roman" w:hAnsi="Times New Roman" w:cs="Times New Roman"/>
        </w:rPr>
        <w:t>International Trade Law</w:t>
      </w:r>
    </w:p>
    <w:p w14:paraId="02C45344" w14:textId="40661AE1" w:rsidR="00785867" w:rsidRPr="00605835" w:rsidRDefault="00785867" w:rsidP="008E1900">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8E1900">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8E1900">
      <w:pPr>
        <w:jc w:val="center"/>
        <w:rPr>
          <w:rFonts w:ascii="Times New Roman" w:hAnsi="Times New Roman" w:cs="Times New Roman"/>
        </w:rPr>
      </w:pPr>
      <w:r w:rsidRPr="00605835">
        <w:rPr>
          <w:rFonts w:ascii="Times New Roman" w:hAnsi="Times New Roman" w:cs="Times New Roman"/>
        </w:rPr>
        <w:t xml:space="preserve">Instructor: </w:t>
      </w:r>
    </w:p>
    <w:p w14:paraId="041F6A07" w14:textId="69103C1A" w:rsidR="00E13AFD" w:rsidRPr="00605835" w:rsidRDefault="001B6BC3" w:rsidP="008E1900">
      <w:pPr>
        <w:jc w:val="center"/>
        <w:rPr>
          <w:rFonts w:ascii="Times New Roman" w:hAnsi="Times New Roman" w:cs="Times New Roman"/>
        </w:rPr>
      </w:pPr>
      <w:r>
        <w:rPr>
          <w:rFonts w:ascii="Times New Roman" w:hAnsi="Times New Roman" w:cs="Times New Roman"/>
        </w:rPr>
        <w:t>24</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8E1900">
      <w:pPr>
        <w:pStyle w:val="NormalWeb"/>
        <w:shd w:val="clear" w:color="auto" w:fill="FFFFFF"/>
        <w:spacing w:before="180" w:beforeAutospacing="0" w:after="180" w:afterAutospacing="0" w:line="480" w:lineRule="auto"/>
      </w:pPr>
      <w:r w:rsidRPr="00605835">
        <w:br w:type="page"/>
      </w:r>
    </w:p>
    <w:p w14:paraId="759BCFDE" w14:textId="77777777" w:rsidR="00E96FBB" w:rsidRPr="00823B2A" w:rsidRDefault="00635DDD" w:rsidP="00E96FBB">
      <w:pPr>
        <w:tabs>
          <w:tab w:val="left" w:pos="720"/>
          <w:tab w:val="left" w:pos="1440"/>
          <w:tab w:val="left" w:pos="2160"/>
          <w:tab w:val="left" w:pos="2880"/>
          <w:tab w:val="left" w:pos="3600"/>
          <w:tab w:val="center" w:pos="4680"/>
        </w:tabs>
        <w:ind w:left="720" w:hanging="720"/>
        <w:rPr>
          <w:b/>
        </w:rPr>
      </w:pPr>
      <w:r w:rsidRPr="00823B2A">
        <w:rPr>
          <w:b/>
        </w:rPr>
        <w:lastRenderedPageBreak/>
        <w:t>Question 2</w:t>
      </w:r>
      <w:r w:rsidR="00E96FBB" w:rsidRPr="00823B2A">
        <w:rPr>
          <w:b/>
        </w:rPr>
        <w:t xml:space="preserve">: When might a business choose traditional court litigation instead of ADR? </w:t>
      </w:r>
    </w:p>
    <w:p w14:paraId="71BBDB17" w14:textId="2F3D84AF" w:rsidR="00DB66D1" w:rsidRDefault="00E96FBB" w:rsidP="00E96FBB">
      <w:pPr>
        <w:tabs>
          <w:tab w:val="left" w:pos="720"/>
          <w:tab w:val="left" w:pos="1440"/>
          <w:tab w:val="left" w:pos="2160"/>
          <w:tab w:val="left" w:pos="2880"/>
          <w:tab w:val="left" w:pos="3600"/>
          <w:tab w:val="center" w:pos="4680"/>
        </w:tabs>
      </w:pPr>
      <w:r>
        <w:tab/>
        <w:t xml:space="preserve">Business relationships are usually based on trust. However, conflicts arise and threaten the bond of trust as well as the future of the partnership. What happens is that many businesses that work together and trust each other decide to look for alternative ways to solve their conflict in traditional courts instead of using ADR. In many occasions, ADR can provide solutions that put the future of the businesses at risk and this can cause irreparable harm. Traditional courts </w:t>
      </w:r>
      <w:r w:rsidR="00823B2A">
        <w:t>are based on customary laws that understa</w:t>
      </w:r>
      <w:r w:rsidR="00C93E4A">
        <w:t xml:space="preserve">nd the basis of the business partnerships and foundation. When solving business conflicts using the traditional courts, both parties are actively engaged in looking for a solution that will not break the business partnership rather solve the conflict amicably and ensure the peaceful coexistence proceed. In short, the purpose of the traditional court is to salvage the business relationship rather than solving the </w:t>
      </w:r>
      <w:r w:rsidR="0003481A">
        <w:t>problem, which</w:t>
      </w:r>
      <w:r w:rsidR="00C93E4A">
        <w:t xml:space="preserve"> might risk the business partnership. However, it doesn’t mean that the conflict is not solved but means that the conflict has to be done in a friendly way.</w:t>
      </w:r>
    </w:p>
    <w:p w14:paraId="7E1DA28A" w14:textId="3A00BAE4" w:rsidR="00B73E58" w:rsidRDefault="00B73E58" w:rsidP="00E96FBB">
      <w:pPr>
        <w:tabs>
          <w:tab w:val="left" w:pos="720"/>
          <w:tab w:val="left" w:pos="1440"/>
          <w:tab w:val="left" w:pos="2160"/>
          <w:tab w:val="left" w:pos="2880"/>
          <w:tab w:val="left" w:pos="3600"/>
          <w:tab w:val="center" w:pos="4680"/>
        </w:tabs>
      </w:pPr>
      <w:r>
        <w:tab/>
        <w:t xml:space="preserve">When solving conflicts using the traditional court, cultural attitudes influence the manner in which the conflict is solved. A good example is the Asian </w:t>
      </w:r>
      <w:r w:rsidR="00EB77AE">
        <w:t>cultures, which</w:t>
      </w:r>
      <w:r>
        <w:t xml:space="preserve"> use traditional courts to seek harmony as well as discord. In other traditions such as in Japan, the act of going for negotiation </w:t>
      </w:r>
      <w:r w:rsidR="008835FA">
        <w:t>team</w:t>
      </w:r>
      <w:r>
        <w:t xml:space="preserve"> is seen as a sign of inevitable disagreement or bad omen.</w:t>
      </w:r>
      <w:r w:rsidR="00E41B3F">
        <w:t xml:space="preserve"> The use of traditional courts might differ across different cultures but the main aim of using </w:t>
      </w:r>
      <w:r w:rsidR="00EB77AE">
        <w:t xml:space="preserve">them is to protect the business relationship as per the culture of doing business in the various geographical locations. Lastly, traditional courts are not overcrowded compared to </w:t>
      </w:r>
      <w:r w:rsidR="006E3EFF">
        <w:t>ADR, which</w:t>
      </w:r>
      <w:r w:rsidR="00EB77AE">
        <w:t xml:space="preserve"> are mostly used in international business. It is therefore easier to solve business conflicts faster, and in a sympathetic way and with no much cost incurred. </w:t>
      </w:r>
    </w:p>
    <w:p w14:paraId="6CB68463" w14:textId="77777777" w:rsidR="00E45FE0" w:rsidRDefault="00E45FE0" w:rsidP="00E96FBB">
      <w:pPr>
        <w:tabs>
          <w:tab w:val="left" w:pos="720"/>
          <w:tab w:val="left" w:pos="1440"/>
          <w:tab w:val="left" w:pos="2160"/>
          <w:tab w:val="left" w:pos="2880"/>
          <w:tab w:val="left" w:pos="3600"/>
          <w:tab w:val="center" w:pos="4680"/>
        </w:tabs>
      </w:pPr>
    </w:p>
    <w:p w14:paraId="260CF989" w14:textId="0FB5D4AC" w:rsidR="00401709" w:rsidRDefault="008835FA" w:rsidP="006C486C">
      <w:pPr>
        <w:tabs>
          <w:tab w:val="left" w:pos="720"/>
          <w:tab w:val="left" w:pos="1440"/>
          <w:tab w:val="left" w:pos="2160"/>
          <w:tab w:val="left" w:pos="2880"/>
          <w:tab w:val="left" w:pos="3600"/>
          <w:tab w:val="center" w:pos="4680"/>
        </w:tabs>
        <w:ind w:left="720" w:hanging="720"/>
      </w:pPr>
      <w:r w:rsidRPr="008835FA">
        <w:rPr>
          <w:b/>
        </w:rPr>
        <w:lastRenderedPageBreak/>
        <w:t>Question 3</w:t>
      </w:r>
      <w:r w:rsidR="006C486C">
        <w:rPr>
          <w:b/>
        </w:rPr>
        <w:t xml:space="preserve">: </w:t>
      </w:r>
      <w:r w:rsidR="006C486C" w:rsidRPr="006C486C">
        <w:t xml:space="preserve"> </w:t>
      </w:r>
    </w:p>
    <w:p w14:paraId="5B86A8A9" w14:textId="3746F717" w:rsidR="009A69AF" w:rsidRDefault="00B031A2" w:rsidP="00B031A2">
      <w:pPr>
        <w:tabs>
          <w:tab w:val="left" w:pos="720"/>
          <w:tab w:val="left" w:pos="1440"/>
          <w:tab w:val="left" w:pos="2160"/>
          <w:tab w:val="left" w:pos="2880"/>
          <w:tab w:val="left" w:pos="3600"/>
          <w:tab w:val="center" w:pos="4680"/>
        </w:tabs>
      </w:pPr>
      <w:r>
        <w:tab/>
      </w:r>
      <w:r w:rsidR="009A69AF" w:rsidRPr="009A69AF">
        <w:t>Contracts for the International Sale of Goods</w:t>
      </w:r>
      <w:r w:rsidR="009A69AF">
        <w:t xml:space="preserve"> (CISG)</w:t>
      </w:r>
      <w:r>
        <w:t xml:space="preserve"> defines a binding offer of sufficient definiteness meaning that all the essential terms of the agreement introduced in the offer’s proposal must be accepted by the offeree and they should lead to a valid binding agreement. Description of goods </w:t>
      </w:r>
      <w:r w:rsidR="00250EEE">
        <w:t>don’t</w:t>
      </w:r>
      <w:r>
        <w:t xml:space="preserve"> have to entail too much detail such as amount. One shall then assume that the offeror will not demonstrate any intention of being bound by the proposal. However, the proposal might only be valid when the subject is significant to the agreement. From this argument therefore, it will not be a valid contract when the seller sends 40 pieces of track per set. The U.S importer </w:t>
      </w:r>
      <w:r w:rsidR="0036668A">
        <w:t xml:space="preserve">has the right to claim sufficient definiteness in the </w:t>
      </w:r>
      <w:r w:rsidR="00250EEE">
        <w:t>contract for it to be considered valid. The buyer has the right to get all the contracts requirements adhered to and the necessary items provided.</w:t>
      </w:r>
    </w:p>
    <w:p w14:paraId="324C539B" w14:textId="7C40E2B8" w:rsidR="001A0479" w:rsidRPr="001A0479" w:rsidRDefault="001A0479" w:rsidP="006C486C">
      <w:pPr>
        <w:tabs>
          <w:tab w:val="left" w:pos="720"/>
          <w:tab w:val="left" w:pos="1440"/>
          <w:tab w:val="left" w:pos="2160"/>
          <w:tab w:val="left" w:pos="2880"/>
          <w:tab w:val="left" w:pos="3600"/>
          <w:tab w:val="center" w:pos="4680"/>
        </w:tabs>
        <w:ind w:left="720" w:hanging="720"/>
        <w:rPr>
          <w:b/>
        </w:rPr>
      </w:pPr>
      <w:r w:rsidRPr="001A0479">
        <w:rPr>
          <w:b/>
        </w:rPr>
        <w:t>Question 4:</w:t>
      </w:r>
    </w:p>
    <w:p w14:paraId="16A61358" w14:textId="1CE87052" w:rsidR="001A0479" w:rsidRDefault="001A0479" w:rsidP="001A0479">
      <w:pPr>
        <w:tabs>
          <w:tab w:val="left" w:pos="720"/>
          <w:tab w:val="left" w:pos="1440"/>
          <w:tab w:val="left" w:pos="2160"/>
          <w:tab w:val="left" w:pos="2880"/>
          <w:tab w:val="left" w:pos="3600"/>
          <w:tab w:val="center" w:pos="4680"/>
        </w:tabs>
      </w:pPr>
      <w:r>
        <w:rPr>
          <w:b/>
        </w:rPr>
        <w:tab/>
      </w:r>
      <w:r>
        <w:t xml:space="preserve">In this case, the component price should not be a valid reason for Acme to underperform and fail to conduct a timely delivery of goods ordered. The price and supply of raw materials lies entirely in the powers of Acme and there is no justifiable reason that the company fails to meet the requirements of the </w:t>
      </w:r>
      <w:r w:rsidR="00882284">
        <w:t>contract</w:t>
      </w:r>
      <w:r>
        <w:t xml:space="preserve">. It </w:t>
      </w:r>
      <w:r w:rsidR="00882284">
        <w:t>is therefore n</w:t>
      </w:r>
      <w:r>
        <w:t xml:space="preserve">ot jusfiable for Acme Widgets to use the dockworkers’ strike to cancel the </w:t>
      </w:r>
      <w:r w:rsidR="00882284">
        <w:t>contra</w:t>
      </w:r>
      <w:r>
        <w:t>ct.</w:t>
      </w:r>
      <w:r w:rsidR="00882284">
        <w:t xml:space="preserve"> As per the Uniform Commercial Code, Acme Widgets is liable to a breach of contract</w:t>
      </w:r>
      <w:r w:rsidR="00AB1956">
        <w:t>, and should proceed with the</w:t>
      </w:r>
      <w:r w:rsidR="00882284">
        <w:t xml:space="preserve"> delivery of the products despite the delay caused by the dockworkers’ strik</w:t>
      </w:r>
      <w:r w:rsidR="00AB1956">
        <w:t xml:space="preserve">e. </w:t>
      </w:r>
    </w:p>
    <w:p w14:paraId="38FAEC89" w14:textId="5DED1FBE" w:rsidR="008835FA" w:rsidRPr="008835FA" w:rsidRDefault="008835FA" w:rsidP="00DB66D1">
      <w:pPr>
        <w:tabs>
          <w:tab w:val="left" w:pos="720"/>
          <w:tab w:val="left" w:pos="1440"/>
          <w:tab w:val="left" w:pos="2160"/>
          <w:tab w:val="left" w:pos="2880"/>
          <w:tab w:val="left" w:pos="3600"/>
          <w:tab w:val="center" w:pos="4680"/>
        </w:tabs>
        <w:ind w:left="720" w:hanging="720"/>
        <w:rPr>
          <w:b/>
        </w:rPr>
      </w:pPr>
      <w:r w:rsidRPr="008835FA">
        <w:rPr>
          <w:b/>
        </w:rPr>
        <w:t xml:space="preserve">Question 5: Questions and case problems </w:t>
      </w:r>
    </w:p>
    <w:p w14:paraId="03E0E4FE" w14:textId="6CBFF3A3" w:rsidR="008835FA" w:rsidRDefault="00401709" w:rsidP="00401709">
      <w:pPr>
        <w:tabs>
          <w:tab w:val="left" w:pos="720"/>
          <w:tab w:val="left" w:pos="1440"/>
          <w:tab w:val="left" w:pos="2160"/>
          <w:tab w:val="left" w:pos="2880"/>
          <w:tab w:val="left" w:pos="3600"/>
          <w:tab w:val="center" w:pos="4680"/>
        </w:tabs>
      </w:pPr>
      <w:r>
        <w:t xml:space="preserve">Q1. </w:t>
      </w:r>
      <w:r w:rsidR="008835FA">
        <w:t xml:space="preserve">Concepts of jurisdiction and minimum contacts </w:t>
      </w:r>
    </w:p>
    <w:p w14:paraId="476BE23D" w14:textId="77777777" w:rsidR="001D0465" w:rsidRDefault="00F05457" w:rsidP="00401709">
      <w:pPr>
        <w:tabs>
          <w:tab w:val="left" w:pos="720"/>
          <w:tab w:val="left" w:pos="1440"/>
          <w:tab w:val="left" w:pos="2160"/>
          <w:tab w:val="left" w:pos="2880"/>
          <w:tab w:val="left" w:pos="3600"/>
          <w:tab w:val="center" w:pos="4680"/>
        </w:tabs>
      </w:pPr>
      <w:r>
        <w:lastRenderedPageBreak/>
        <w:tab/>
      </w:r>
      <w:r w:rsidR="008835FA">
        <w:t xml:space="preserve">The key concept of </w:t>
      </w:r>
      <w:r>
        <w:t>jurisprudence</w:t>
      </w:r>
      <w:r w:rsidR="008835FA">
        <w:t xml:space="preserve"> is the power granted to the court to hear and determine a case. </w:t>
      </w:r>
      <w:r>
        <w:t xml:space="preserve">Any court of law that is able to disseminate its duties according to the law is regarded to be competent. Territorial jurisdiction on the other end is the power of the court to hear cases involving territory and use the power granted by the law or the constitution to determine the case. In rem jurisdiction is another </w:t>
      </w:r>
      <w:r w:rsidR="0018343D">
        <w:t>concept, which</w:t>
      </w:r>
      <w:r>
        <w:t xml:space="preserve"> refers to the power of the court to determine cases over property within its constitutionally mandated geographical boundaries. </w:t>
      </w:r>
    </w:p>
    <w:p w14:paraId="3101B470" w14:textId="77777777" w:rsidR="00E45FE0" w:rsidRDefault="001D0465" w:rsidP="00401709">
      <w:pPr>
        <w:tabs>
          <w:tab w:val="left" w:pos="720"/>
          <w:tab w:val="left" w:pos="1440"/>
          <w:tab w:val="left" w:pos="2160"/>
          <w:tab w:val="left" w:pos="2880"/>
          <w:tab w:val="left" w:pos="3600"/>
          <w:tab w:val="center" w:pos="4680"/>
        </w:tabs>
      </w:pPr>
      <w:r>
        <w:tab/>
      </w:r>
      <w:r w:rsidR="00F05457">
        <w:t xml:space="preserve">Subject matter jurisdiction concept is the ability of the court to hear and determine breach of contract or tort cases. For example, in the United States, the federal courts determine cases involving the federal statutes, the various government agencies and cases among or between the American citizens. These concepts describe the diversity of the jurisdiction. </w:t>
      </w:r>
      <w:r w:rsidR="00675A9B">
        <w:t>In Personam Jurisdiction is described as the jurisdiction over the person and is referred to as the power of the court on a certain corporation or a person.</w:t>
      </w:r>
      <w:r w:rsidR="00D177A3">
        <w:t xml:space="preserve"> In Personam, the jurisdiction is obtained by summoning the legal agent of the corporation or the individual in person. The minimum contacts has been interpreted by the U.S Supreme court in the Due Process clause to limit the individual jurisdiction to the </w:t>
      </w:r>
      <w:r w:rsidR="00C45EF0">
        <w:t>people</w:t>
      </w:r>
      <w:r w:rsidR="00D177A3">
        <w:t xml:space="preserve"> physically in attendance in the court’s territory.</w:t>
      </w:r>
      <w:r w:rsidR="00C45EF0">
        <w:t xml:space="preserve"> Over the past, the concept has been revised to allow jurisdiction over the persons who are not present in the court for reasons of fairness and justice should be held to answer to a complaint there. These concepts </w:t>
      </w:r>
      <w:proofErr w:type="gramStart"/>
      <w:r w:rsidR="00C45EF0">
        <w:t>can be applied</w:t>
      </w:r>
      <w:proofErr w:type="gramEnd"/>
      <w:r w:rsidR="00C45EF0">
        <w:t xml:space="preserve"> in solving the international conflicts.</w:t>
      </w:r>
    </w:p>
    <w:p w14:paraId="792887B2" w14:textId="63D1F336" w:rsidR="00CF1DAE" w:rsidRDefault="00C45EF0" w:rsidP="00401709">
      <w:pPr>
        <w:tabs>
          <w:tab w:val="left" w:pos="720"/>
          <w:tab w:val="left" w:pos="1440"/>
          <w:tab w:val="left" w:pos="2160"/>
          <w:tab w:val="left" w:pos="2880"/>
          <w:tab w:val="left" w:pos="3600"/>
          <w:tab w:val="center" w:pos="4680"/>
        </w:tabs>
      </w:pPr>
      <w:r>
        <w:t>For</w:t>
      </w:r>
      <w:r w:rsidR="00CF1DAE">
        <w:t xml:space="preserve"> example;</w:t>
      </w:r>
    </w:p>
    <w:p w14:paraId="21F3B2A3" w14:textId="77777777" w:rsidR="00CF1DAE" w:rsidRDefault="00CF1DAE" w:rsidP="00CF1DAE">
      <w:pPr>
        <w:pStyle w:val="ListParagraph"/>
        <w:numPr>
          <w:ilvl w:val="0"/>
          <w:numId w:val="34"/>
        </w:numPr>
        <w:tabs>
          <w:tab w:val="left" w:pos="720"/>
          <w:tab w:val="left" w:pos="1440"/>
          <w:tab w:val="left" w:pos="2160"/>
          <w:tab w:val="left" w:pos="2880"/>
          <w:tab w:val="left" w:pos="3600"/>
          <w:tab w:val="center" w:pos="4680"/>
        </w:tabs>
      </w:pPr>
      <w:r>
        <w:t>E</w:t>
      </w:r>
      <w:r w:rsidR="00C45EF0">
        <w:t>xercising p</w:t>
      </w:r>
      <w:r>
        <w:t>ersonal jurisdiction</w:t>
      </w:r>
    </w:p>
    <w:p w14:paraId="34024DB9" w14:textId="745840EC" w:rsidR="00CF1DAE" w:rsidRDefault="00CF1DAE" w:rsidP="00CF1DAE">
      <w:pPr>
        <w:pStyle w:val="ListParagraph"/>
        <w:numPr>
          <w:ilvl w:val="0"/>
          <w:numId w:val="34"/>
        </w:numPr>
        <w:tabs>
          <w:tab w:val="left" w:pos="720"/>
          <w:tab w:val="left" w:pos="1440"/>
          <w:tab w:val="left" w:pos="2160"/>
          <w:tab w:val="left" w:pos="2880"/>
          <w:tab w:val="left" w:pos="3600"/>
          <w:tab w:val="center" w:pos="4680"/>
        </w:tabs>
      </w:pPr>
      <w:r>
        <w:t>J</w:t>
      </w:r>
      <w:r w:rsidR="00C45EF0">
        <w:t>urisdiction over cases</w:t>
      </w:r>
      <w:r>
        <w:t xml:space="preserve"> involving commercial contracts</w:t>
      </w:r>
    </w:p>
    <w:p w14:paraId="3B19F09A" w14:textId="29386592" w:rsidR="00401709" w:rsidRDefault="00CF1DAE" w:rsidP="00CF1DAE">
      <w:pPr>
        <w:pStyle w:val="ListParagraph"/>
        <w:numPr>
          <w:ilvl w:val="0"/>
          <w:numId w:val="34"/>
        </w:numPr>
        <w:tabs>
          <w:tab w:val="left" w:pos="720"/>
          <w:tab w:val="left" w:pos="1440"/>
          <w:tab w:val="left" w:pos="2160"/>
          <w:tab w:val="left" w:pos="2880"/>
          <w:tab w:val="left" w:pos="3600"/>
          <w:tab w:val="center" w:pos="4680"/>
        </w:tabs>
      </w:pPr>
      <w:r>
        <w:t>T</w:t>
      </w:r>
      <w:r w:rsidR="00C45EF0">
        <w:t>ort cases</w:t>
      </w:r>
      <w:r w:rsidR="00401709">
        <w:t xml:space="preserve"> </w:t>
      </w:r>
      <w:r w:rsidR="00C45EF0">
        <w:t xml:space="preserve">arising out of </w:t>
      </w:r>
      <w:r w:rsidR="00401709">
        <w:t>automobile accident, consumer contract cases, employer-employee cases and so on.</w:t>
      </w:r>
    </w:p>
    <w:p w14:paraId="7C1D1416" w14:textId="4DAC775E" w:rsidR="00401709" w:rsidRDefault="00401709" w:rsidP="00401709">
      <w:pPr>
        <w:tabs>
          <w:tab w:val="left" w:pos="720"/>
          <w:tab w:val="left" w:pos="1440"/>
          <w:tab w:val="left" w:pos="2160"/>
          <w:tab w:val="left" w:pos="2880"/>
          <w:tab w:val="left" w:pos="3600"/>
          <w:tab w:val="center" w:pos="4680"/>
        </w:tabs>
      </w:pPr>
      <w:r>
        <w:lastRenderedPageBreak/>
        <w:t xml:space="preserve">Q3. </w:t>
      </w:r>
      <w:r w:rsidR="006C486C" w:rsidRPr="006C486C">
        <w:t>Do the north Carolina courts have personal jurisdiction over Goodyear’s foreign subdiaries arising from the accident in France?</w:t>
      </w:r>
    </w:p>
    <w:p w14:paraId="3D81DBC1" w14:textId="2D18B142" w:rsidR="007509E1" w:rsidRDefault="007509E1" w:rsidP="00401709">
      <w:pPr>
        <w:tabs>
          <w:tab w:val="left" w:pos="720"/>
          <w:tab w:val="left" w:pos="1440"/>
          <w:tab w:val="left" w:pos="2160"/>
          <w:tab w:val="left" w:pos="2880"/>
          <w:tab w:val="left" w:pos="3600"/>
          <w:tab w:val="center" w:pos="4680"/>
        </w:tabs>
      </w:pPr>
      <w:r>
        <w:tab/>
        <w:t xml:space="preserve"> In the </w:t>
      </w:r>
      <w:r w:rsidRPr="007509E1">
        <w:rPr>
          <w:u w:val="single"/>
        </w:rPr>
        <w:t>Goodyear Dunlop Tires Operations, S.A. v. Brown</w:t>
      </w:r>
      <w:r>
        <w:t xml:space="preserve"> case, the respondents of the case were the parents of the two teenagers who were involved in a bus accident and died in France. In the case, the respondents files a suit with a North California State Court against the Goodyear USA and petitioners, the subsidiaries of Goodyear in USA such as Goodyear Turkey, Goodyear Dunlop Tires France</w:t>
      </w:r>
      <w:r w:rsidR="00D83019">
        <w:t xml:space="preserve">. In this case, decided there was lack of personal jurisdiction and denied the petitioner dismissal of the motion. Court Appeals discovered that the tires manufactured by the petitioner were not limited to interstate commerce and could be sold in North </w:t>
      </w:r>
      <w:r w:rsidR="004F5D35">
        <w:t>Carolina</w:t>
      </w:r>
      <w:r w:rsidR="00D83019">
        <w:t>.</w:t>
      </w:r>
    </w:p>
    <w:p w14:paraId="6C6C236B" w14:textId="12A0EAC0" w:rsidR="006C486C" w:rsidRDefault="007509E1" w:rsidP="00401709">
      <w:pPr>
        <w:tabs>
          <w:tab w:val="left" w:pos="720"/>
          <w:tab w:val="left" w:pos="1440"/>
          <w:tab w:val="left" w:pos="2160"/>
          <w:tab w:val="left" w:pos="2880"/>
          <w:tab w:val="left" w:pos="3600"/>
          <w:tab w:val="center" w:pos="4680"/>
        </w:tabs>
      </w:pPr>
      <w:r>
        <w:tab/>
      </w:r>
      <w:r w:rsidR="006C486C">
        <w:t xml:space="preserve">In this case, the court addressed the issue of foreign subsidiaries of the parent company based in the U.S responsible to suit on occasion that the activities of the subsidiary company. After careful consideration, the court decided that Goodyear foreign subsidiary petitioners were not in any case amenable to the North Carolina suit. </w:t>
      </w:r>
      <w:r w:rsidR="00D83019">
        <w:t>The court</w:t>
      </w:r>
      <w:r w:rsidR="00805276">
        <w:t xml:space="preserve"> decide </w:t>
      </w:r>
      <w:r w:rsidR="00D83019">
        <w:t xml:space="preserve">that the defendant were subject to personal jurisdiction in North </w:t>
      </w:r>
      <w:r w:rsidR="00805276">
        <w:t xml:space="preserve">Carolina </w:t>
      </w:r>
      <w:r w:rsidR="00D83019">
        <w:t xml:space="preserve">due to commercial injection of their product in the stream of commerce without proper indication of distribution. </w:t>
      </w:r>
      <w:r w:rsidR="006E3EFF">
        <w:t>Thus,</w:t>
      </w:r>
      <w:r w:rsidR="00D83019">
        <w:t xml:space="preserve"> the court did not adopt the court of appeals decision.</w:t>
      </w:r>
    </w:p>
    <w:p w14:paraId="3F19FFFF" w14:textId="77777777" w:rsidR="00E45FE0" w:rsidRDefault="00E45FE0" w:rsidP="00401709">
      <w:pPr>
        <w:tabs>
          <w:tab w:val="left" w:pos="720"/>
          <w:tab w:val="left" w:pos="1440"/>
          <w:tab w:val="left" w:pos="2160"/>
          <w:tab w:val="left" w:pos="2880"/>
          <w:tab w:val="left" w:pos="3600"/>
          <w:tab w:val="center" w:pos="4680"/>
        </w:tabs>
      </w:pPr>
    </w:p>
    <w:p w14:paraId="578A03E7" w14:textId="067BDDB3" w:rsidR="00D06D21" w:rsidRDefault="00805276" w:rsidP="00401709">
      <w:pPr>
        <w:tabs>
          <w:tab w:val="left" w:pos="720"/>
          <w:tab w:val="left" w:pos="1440"/>
          <w:tab w:val="left" w:pos="2160"/>
          <w:tab w:val="left" w:pos="2880"/>
          <w:tab w:val="left" w:pos="3600"/>
          <w:tab w:val="center" w:pos="4680"/>
        </w:tabs>
      </w:pPr>
      <w:r>
        <w:t xml:space="preserve">Q4. </w:t>
      </w:r>
      <w:r w:rsidR="00D06D21" w:rsidRPr="00D06D21">
        <w:rPr>
          <w:i/>
          <w:iCs/>
        </w:rPr>
        <w:t>J. McIntyre Machinery, Ltd. v. Nicastro</w:t>
      </w:r>
      <w:r w:rsidR="00D06D21" w:rsidRPr="00D06D21">
        <w:t>, 564 U.S</w:t>
      </w:r>
    </w:p>
    <w:p w14:paraId="326C9634" w14:textId="3FB77448" w:rsidR="00805276" w:rsidRDefault="00D06D21" w:rsidP="00401709">
      <w:pPr>
        <w:tabs>
          <w:tab w:val="left" w:pos="720"/>
          <w:tab w:val="left" w:pos="1440"/>
          <w:tab w:val="left" w:pos="2160"/>
          <w:tab w:val="left" w:pos="2880"/>
          <w:tab w:val="left" w:pos="3600"/>
          <w:tab w:val="center" w:pos="4680"/>
        </w:tabs>
      </w:pPr>
      <w:r>
        <w:tab/>
      </w:r>
      <w:r w:rsidR="00805276">
        <w:t>In the case</w:t>
      </w:r>
      <w:r>
        <w:t xml:space="preserve"> of </w:t>
      </w:r>
      <w:r w:rsidRPr="00D06D21">
        <w:rPr>
          <w:i/>
          <w:iCs/>
        </w:rPr>
        <w:t>J. McIntyre Machinery, Ltd. v. Nicastro</w:t>
      </w:r>
      <w:r w:rsidRPr="00D06D21">
        <w:t>, 564 U.S</w:t>
      </w:r>
      <w:r>
        <w:t xml:space="preserve">, the UK company is subject to New York’s court jurisdiction. According to the Justice system handling the case, a plurality opinion was agreed upon. </w:t>
      </w:r>
      <w:r w:rsidR="004F5D35">
        <w:t xml:space="preserve">Justice Stephen Breyer </w:t>
      </w:r>
      <w:r>
        <w:t xml:space="preserve">According to Justice Kennedy, it was </w:t>
      </w:r>
      <w:r>
        <w:lastRenderedPageBreak/>
        <w:t xml:space="preserve">unlawful to exercise judicial powers unless the defendant appears in court in person. </w:t>
      </w:r>
      <w:r w:rsidR="00F060F0">
        <w:t>Justice Kennedy found that the exercise personal jurisdiction upon the defendant was dependent on the purposeful availment to court. Further to that, the placement of a product in a stream of commerce is not</w:t>
      </w:r>
      <w:r w:rsidR="008F785B">
        <w:t xml:space="preserve"> directed towards the forum State by the </w:t>
      </w:r>
      <w:r w:rsidR="007529B2">
        <w:t>defendant</w:t>
      </w:r>
      <w:r w:rsidR="008F785B">
        <w:t>. According to Kennedy, he jurisdiction was right while using the majority opinion.</w:t>
      </w:r>
      <w:r w:rsidR="005338FB">
        <w:t xml:space="preserve"> Therefore, the court authority had the power to exercise personal jurisdiction in condition of purposeful </w:t>
      </w:r>
      <w:proofErr w:type="spellStart"/>
      <w:r w:rsidR="005338FB">
        <w:t>availment</w:t>
      </w:r>
      <w:proofErr w:type="spellEnd"/>
      <w:r w:rsidR="005338FB">
        <w:t>.</w:t>
      </w:r>
    </w:p>
    <w:p w14:paraId="086C5588" w14:textId="77777777" w:rsidR="00E45FE0" w:rsidRDefault="00E45FE0" w:rsidP="00401709">
      <w:pPr>
        <w:tabs>
          <w:tab w:val="left" w:pos="720"/>
          <w:tab w:val="left" w:pos="1440"/>
          <w:tab w:val="left" w:pos="2160"/>
          <w:tab w:val="left" w:pos="2880"/>
          <w:tab w:val="left" w:pos="3600"/>
          <w:tab w:val="center" w:pos="4680"/>
        </w:tabs>
      </w:pPr>
    </w:p>
    <w:p w14:paraId="21A8AD71" w14:textId="6813226C" w:rsidR="005338FB" w:rsidRDefault="00805276" w:rsidP="00401709">
      <w:pPr>
        <w:tabs>
          <w:tab w:val="left" w:pos="720"/>
          <w:tab w:val="left" w:pos="1440"/>
          <w:tab w:val="left" w:pos="2160"/>
          <w:tab w:val="left" w:pos="2880"/>
          <w:tab w:val="left" w:pos="3600"/>
          <w:tab w:val="center" w:pos="4680"/>
        </w:tabs>
      </w:pPr>
      <w:r>
        <w:t xml:space="preserve">Q5. </w:t>
      </w:r>
      <w:r w:rsidR="005338FB">
        <w:t>Why do so many litigants, “like moths to a flame,” want to litigate in the U.S?</w:t>
      </w:r>
    </w:p>
    <w:p w14:paraId="411C726F" w14:textId="5C84C555" w:rsidR="005338FB" w:rsidRDefault="005338FB" w:rsidP="00401709">
      <w:pPr>
        <w:tabs>
          <w:tab w:val="left" w:pos="720"/>
          <w:tab w:val="left" w:pos="1440"/>
          <w:tab w:val="left" w:pos="2160"/>
          <w:tab w:val="left" w:pos="2880"/>
          <w:tab w:val="left" w:pos="3600"/>
          <w:tab w:val="center" w:pos="4680"/>
        </w:tabs>
      </w:pPr>
      <w:r>
        <w:tab/>
        <w:t>In America, there it is easy to bring forth a case before the court. In other countries, in order to present the case to the court, there are too many considerations to make such as territory. To some extent, many of those who present the cases to U.S judicial justice get justice which would not have been possible in their home countries which are filed with corruption, long pr</w:t>
      </w:r>
      <w:r w:rsidR="001242CB">
        <w:t xml:space="preserve">ocedural requirements </w:t>
      </w:r>
      <w:r w:rsidR="00531813">
        <w:t>that</w:t>
      </w:r>
      <w:r w:rsidR="001242CB">
        <w:t xml:space="preserve"> makes the process slow and justice might not be served.</w:t>
      </w:r>
      <w:r w:rsidR="00557D86">
        <w:t xml:space="preserve"> On other end, in US, there are not so many penalty costs needed in order to file a case. The huge settlements granted to the petitioner also make the idea lucrative.  </w:t>
      </w:r>
    </w:p>
    <w:p w14:paraId="637EBF50" w14:textId="77777777" w:rsidR="00E45FE0" w:rsidRDefault="00E45FE0" w:rsidP="00401709">
      <w:pPr>
        <w:tabs>
          <w:tab w:val="left" w:pos="720"/>
          <w:tab w:val="left" w:pos="1440"/>
          <w:tab w:val="left" w:pos="2160"/>
          <w:tab w:val="left" w:pos="2880"/>
          <w:tab w:val="left" w:pos="3600"/>
          <w:tab w:val="center" w:pos="4680"/>
        </w:tabs>
      </w:pPr>
    </w:p>
    <w:p w14:paraId="7410EA1D" w14:textId="47F2405D" w:rsidR="007529B2" w:rsidRDefault="00805276" w:rsidP="00401709">
      <w:pPr>
        <w:tabs>
          <w:tab w:val="left" w:pos="720"/>
          <w:tab w:val="left" w:pos="1440"/>
          <w:tab w:val="left" w:pos="2160"/>
          <w:tab w:val="left" w:pos="2880"/>
          <w:tab w:val="left" w:pos="3600"/>
          <w:tab w:val="center" w:pos="4680"/>
        </w:tabs>
        <w:rPr>
          <w:i/>
        </w:rPr>
      </w:pPr>
      <w:r>
        <w:t xml:space="preserve">Q9. </w:t>
      </w:r>
      <w:r w:rsidR="007529B2" w:rsidRPr="007529B2">
        <w:rPr>
          <w:i/>
        </w:rPr>
        <w:t>Pebble Beach Co. v, Caddy, 453 F.3d 1151 (9</w:t>
      </w:r>
      <w:r w:rsidR="007529B2" w:rsidRPr="007529B2">
        <w:rPr>
          <w:i/>
          <w:vertAlign w:val="superscript"/>
        </w:rPr>
        <w:t>th</w:t>
      </w:r>
      <w:r w:rsidR="007529B2" w:rsidRPr="007529B2">
        <w:rPr>
          <w:i/>
        </w:rPr>
        <w:t xml:space="preserve"> Cir. 2006)</w:t>
      </w:r>
    </w:p>
    <w:p w14:paraId="4C24BF29" w14:textId="77777777" w:rsidR="001D0465" w:rsidRDefault="007529B2" w:rsidP="00401709">
      <w:pPr>
        <w:tabs>
          <w:tab w:val="left" w:pos="720"/>
          <w:tab w:val="left" w:pos="1440"/>
          <w:tab w:val="left" w:pos="2160"/>
          <w:tab w:val="left" w:pos="2880"/>
          <w:tab w:val="left" w:pos="3600"/>
          <w:tab w:val="center" w:pos="4680"/>
        </w:tabs>
      </w:pPr>
      <w:r>
        <w:tab/>
        <w:t>In this case, the arguments are straight to the point. According to Caddy, the court might not assert a personal jurisdiction over him and the complaint is subject to dismissal. The Pebble beach on the other hand suggests that Caddy is subject to personal jurisdiction in California.</w:t>
      </w:r>
      <w:r w:rsidR="00531813">
        <w:t xml:space="preserve"> The ruling is that the defendant has the right of personal jurisdiction g</w:t>
      </w:r>
      <w:r w:rsidR="00387722">
        <w:t xml:space="preserve">ranted by the long-arm statute. </w:t>
      </w:r>
      <w:r w:rsidR="00387722">
        <w:lastRenderedPageBreak/>
        <w:t>In the r</w:t>
      </w:r>
      <w:r w:rsidR="00250EEE">
        <w:t xml:space="preserve">uling, the court had </w:t>
      </w:r>
      <w:r w:rsidR="00387722">
        <w:t xml:space="preserve">the duty of establishing what the defendant had done and the purpose of conducting activities in the forum. </w:t>
      </w:r>
    </w:p>
    <w:p w14:paraId="339C03EE" w14:textId="2F9A2435" w:rsidR="007529B2" w:rsidRDefault="001D0465" w:rsidP="00401709">
      <w:pPr>
        <w:tabs>
          <w:tab w:val="left" w:pos="720"/>
          <w:tab w:val="left" w:pos="1440"/>
          <w:tab w:val="left" w:pos="2160"/>
          <w:tab w:val="left" w:pos="2880"/>
          <w:tab w:val="left" w:pos="3600"/>
          <w:tab w:val="center" w:pos="4680"/>
        </w:tabs>
      </w:pPr>
      <w:r>
        <w:tab/>
      </w:r>
      <w:r w:rsidR="00387722">
        <w:t xml:space="preserve">The court sought to understand whether the defendant purposefully directed his activities to the website or purposefully availed activities in the </w:t>
      </w:r>
      <w:r w:rsidR="00250EEE">
        <w:t>forum, which</w:t>
      </w:r>
      <w:r w:rsidR="00387722">
        <w:t xml:space="preserve"> are two distinct concepts. It was determined that the Caddy did not purposefully or direct activities towards the state and that the actions did not target individually the State in the purposeful availment. </w:t>
      </w:r>
    </w:p>
    <w:p w14:paraId="388209F8" w14:textId="37E62CFD" w:rsidR="00250EEE" w:rsidRPr="00250EEE" w:rsidRDefault="00250EEE" w:rsidP="00401709">
      <w:pPr>
        <w:tabs>
          <w:tab w:val="left" w:pos="720"/>
          <w:tab w:val="left" w:pos="1440"/>
          <w:tab w:val="left" w:pos="2160"/>
          <w:tab w:val="left" w:pos="2880"/>
          <w:tab w:val="left" w:pos="3600"/>
          <w:tab w:val="center" w:pos="4680"/>
        </w:tabs>
        <w:rPr>
          <w:b/>
        </w:rPr>
      </w:pPr>
      <w:r w:rsidRPr="00250EEE">
        <w:rPr>
          <w:b/>
        </w:rPr>
        <w:t xml:space="preserve">Question 6: Ethical consideration </w:t>
      </w:r>
    </w:p>
    <w:p w14:paraId="1F13B355" w14:textId="77777777" w:rsidR="001D0465" w:rsidRDefault="00250EEE" w:rsidP="00401709">
      <w:pPr>
        <w:tabs>
          <w:tab w:val="left" w:pos="720"/>
          <w:tab w:val="left" w:pos="1440"/>
          <w:tab w:val="left" w:pos="2160"/>
          <w:tab w:val="left" w:pos="2880"/>
          <w:tab w:val="left" w:pos="3600"/>
          <w:tab w:val="center" w:pos="4680"/>
        </w:tabs>
      </w:pPr>
      <w:r>
        <w:tab/>
      </w:r>
      <w:r w:rsidR="006D6602">
        <w:t>Union Carbide did not abide to its duties and responsibilities to the community, which lead to a catastrophe to the undereducated victims of the gas leak. The population in the community whereby Union Carbide operates is not educated and might not be in a position to take precautionary measures, therefore, it is the duty of the company to act ethically and protect lives of the people. No, Union Carbide did not choose the fairest and the most equitable resolution.</w:t>
      </w:r>
    </w:p>
    <w:p w14:paraId="1458B57D" w14:textId="65997B86" w:rsidR="00250EEE" w:rsidRDefault="001D0465" w:rsidP="00401709">
      <w:pPr>
        <w:tabs>
          <w:tab w:val="left" w:pos="720"/>
          <w:tab w:val="left" w:pos="1440"/>
          <w:tab w:val="left" w:pos="2160"/>
          <w:tab w:val="left" w:pos="2880"/>
          <w:tab w:val="left" w:pos="3600"/>
          <w:tab w:val="center" w:pos="4680"/>
        </w:tabs>
      </w:pPr>
      <w:r>
        <w:tab/>
      </w:r>
      <w:r w:rsidR="006D6602">
        <w:t xml:space="preserve">Instead, the </w:t>
      </w:r>
      <w:r w:rsidR="00712E12">
        <w:t xml:space="preserve">Union Carbide did not act ethically but acted upon its own interests. The theory of moral relativism could not have been adhered to in </w:t>
      </w:r>
      <w:r w:rsidR="006D6602">
        <w:t xml:space="preserve">determining the right behavior </w:t>
      </w:r>
      <w:r w:rsidR="00712E12">
        <w:t xml:space="preserve">based on place as well as the time of the circumstances. </w:t>
      </w:r>
      <w:r w:rsidR="002565CF">
        <w:t xml:space="preserve">As a profit driven entity, it is the duty of the company to extent its social corporate responsibility and improve the lives of the people instead of putting them at risk. </w:t>
      </w:r>
      <w:r w:rsidR="00176D0A">
        <w:t xml:space="preserve">Contractarianism is unrealistic in serving equality since rational people decide on what to do despite the personal consequences. </w:t>
      </w:r>
    </w:p>
    <w:p w14:paraId="29EA7656" w14:textId="37A0102A" w:rsidR="00665C64" w:rsidRDefault="00665C64" w:rsidP="00401709">
      <w:pPr>
        <w:tabs>
          <w:tab w:val="left" w:pos="720"/>
          <w:tab w:val="left" w:pos="1440"/>
          <w:tab w:val="left" w:pos="2160"/>
          <w:tab w:val="left" w:pos="2880"/>
          <w:tab w:val="left" w:pos="3600"/>
          <w:tab w:val="center" w:pos="4680"/>
        </w:tabs>
        <w:rPr>
          <w:b/>
        </w:rPr>
      </w:pPr>
      <w:r w:rsidRPr="00665C64">
        <w:rPr>
          <w:b/>
        </w:rPr>
        <w:t>Q</w:t>
      </w:r>
      <w:r w:rsidR="005E14D5">
        <w:rPr>
          <w:b/>
        </w:rPr>
        <w:t>uestion 7</w:t>
      </w:r>
      <w:r w:rsidRPr="00665C64">
        <w:rPr>
          <w:b/>
        </w:rPr>
        <w:t>: Questions and Case Problems</w:t>
      </w:r>
    </w:p>
    <w:p w14:paraId="1FE54C3F" w14:textId="04D43B06" w:rsidR="00665C64" w:rsidRDefault="00665C64" w:rsidP="00401709">
      <w:pPr>
        <w:tabs>
          <w:tab w:val="left" w:pos="720"/>
          <w:tab w:val="left" w:pos="1440"/>
          <w:tab w:val="left" w:pos="2160"/>
          <w:tab w:val="left" w:pos="2880"/>
          <w:tab w:val="left" w:pos="3600"/>
          <w:tab w:val="center" w:pos="4680"/>
        </w:tabs>
        <w:rPr>
          <w:i/>
        </w:rPr>
      </w:pPr>
      <w:r>
        <w:t>Q1.</w:t>
      </w:r>
      <w:r w:rsidR="005E14D5">
        <w:t xml:space="preserve"> </w:t>
      </w:r>
      <w:r w:rsidR="004B3660" w:rsidRPr="004B3660">
        <w:rPr>
          <w:i/>
        </w:rPr>
        <w:t>National Group for communications and computers, Ltd. V. Lucent Technologies International Inc., 331 F. Supp. 2d290 (D.N.J.2004)</w:t>
      </w:r>
    </w:p>
    <w:p w14:paraId="1B9526F4" w14:textId="77777777" w:rsidR="001D0465" w:rsidRDefault="00BD0B9A" w:rsidP="00401709">
      <w:pPr>
        <w:tabs>
          <w:tab w:val="left" w:pos="720"/>
          <w:tab w:val="left" w:pos="1440"/>
          <w:tab w:val="left" w:pos="2160"/>
          <w:tab w:val="left" w:pos="2880"/>
          <w:tab w:val="left" w:pos="3600"/>
          <w:tab w:val="center" w:pos="4680"/>
        </w:tabs>
      </w:pPr>
      <w:r>
        <w:lastRenderedPageBreak/>
        <w:tab/>
        <w:t xml:space="preserve">Any company that agrees to abide to Sharia law usually disagrees the recovery for future profits that were lost because of contractual default or unrealized gains. Gharar is a contractual uncertainty and any exchange contract that goes against Gharar is </w:t>
      </w:r>
      <w:r w:rsidR="00B12316">
        <w:t>void or invalid</w:t>
      </w:r>
      <w:r>
        <w:t>.</w:t>
      </w:r>
      <w:r w:rsidR="00F217C6">
        <w:t xml:space="preserve"> According to one of the doctrines of Sharia Law, Ghara, Saudi Arabian courts do not enforce the sale of property in order to recover property or gains after a contractual default. </w:t>
      </w:r>
    </w:p>
    <w:p w14:paraId="25863247" w14:textId="6ED2910E" w:rsidR="004B3660" w:rsidRDefault="001D0465" w:rsidP="00401709">
      <w:pPr>
        <w:tabs>
          <w:tab w:val="left" w:pos="720"/>
          <w:tab w:val="left" w:pos="1440"/>
          <w:tab w:val="left" w:pos="2160"/>
          <w:tab w:val="left" w:pos="2880"/>
          <w:tab w:val="left" w:pos="3600"/>
          <w:tab w:val="center" w:pos="4680"/>
        </w:tabs>
      </w:pPr>
      <w:r>
        <w:tab/>
      </w:r>
      <w:r w:rsidR="00F217C6">
        <w:t xml:space="preserve">Therefore, in this case, the Saudi Law holds that the non-breaching company is not eligible to collection of damages for any loses that might have been incurred from the default contract. </w:t>
      </w:r>
      <w:r w:rsidR="00F44013">
        <w:t>Under CISG, the recovery of consequential damage is permitted including the indirect damages arising from the conseq</w:t>
      </w:r>
      <w:r w:rsidR="00763E96">
        <w:t xml:space="preserve">uence of the breach of contract. The situation on these special circumstances </w:t>
      </w:r>
      <w:proofErr w:type="gramStart"/>
      <w:r w:rsidR="00763E96">
        <w:t>is usually known</w:t>
      </w:r>
      <w:proofErr w:type="gramEnd"/>
      <w:r w:rsidR="00763E96">
        <w:t xml:space="preserve"> contrary to the case with Gharar where the </w:t>
      </w:r>
      <w:r w:rsidR="00E632B1">
        <w:t xml:space="preserve">parties are not sure of the consequences in contractual </w:t>
      </w:r>
      <w:r w:rsidR="00CD147C">
        <w:t>uncertainty</w:t>
      </w:r>
      <w:r w:rsidR="00E632B1">
        <w:t xml:space="preserve">. </w:t>
      </w:r>
    </w:p>
    <w:p w14:paraId="107E4C90" w14:textId="77777777" w:rsidR="00E45FE0" w:rsidRPr="004B3660" w:rsidRDefault="00E45FE0" w:rsidP="00401709">
      <w:pPr>
        <w:tabs>
          <w:tab w:val="left" w:pos="720"/>
          <w:tab w:val="left" w:pos="1440"/>
          <w:tab w:val="left" w:pos="2160"/>
          <w:tab w:val="left" w:pos="2880"/>
          <w:tab w:val="left" w:pos="3600"/>
          <w:tab w:val="center" w:pos="4680"/>
        </w:tabs>
      </w:pPr>
    </w:p>
    <w:p w14:paraId="5BC2999E" w14:textId="0385DA42" w:rsidR="00665C64" w:rsidRDefault="00665C64" w:rsidP="00401709">
      <w:pPr>
        <w:tabs>
          <w:tab w:val="left" w:pos="720"/>
          <w:tab w:val="left" w:pos="1440"/>
          <w:tab w:val="left" w:pos="2160"/>
          <w:tab w:val="left" w:pos="2880"/>
          <w:tab w:val="left" w:pos="3600"/>
          <w:tab w:val="center" w:pos="4680"/>
        </w:tabs>
        <w:rPr>
          <w:i/>
        </w:rPr>
      </w:pPr>
      <w:r>
        <w:t>Q2.</w:t>
      </w:r>
      <w:r w:rsidRPr="00CD147C">
        <w:rPr>
          <w:i/>
        </w:rPr>
        <w:t xml:space="preserve"> </w:t>
      </w:r>
      <w:r w:rsidR="00CD147C" w:rsidRPr="00CD147C">
        <w:rPr>
          <w:i/>
        </w:rPr>
        <w:t>Bende and So</w:t>
      </w:r>
      <w:r w:rsidR="00CD147C">
        <w:rPr>
          <w:i/>
        </w:rPr>
        <w:t>ns, Inc. V. Crown Recreation and</w:t>
      </w:r>
      <w:r w:rsidR="00CD147C" w:rsidRPr="00CD147C">
        <w:rPr>
          <w:i/>
        </w:rPr>
        <w:t xml:space="preserve"> Kiffe Products, 548 F. Supp. 1018 (E.D.N.Y. 1982)</w:t>
      </w:r>
    </w:p>
    <w:p w14:paraId="4112C6D4" w14:textId="47147EB7" w:rsidR="00CD147C" w:rsidRDefault="00CD147C" w:rsidP="00CD147C">
      <w:pPr>
        <w:pStyle w:val="ListParagraph"/>
        <w:numPr>
          <w:ilvl w:val="0"/>
          <w:numId w:val="32"/>
        </w:numPr>
        <w:tabs>
          <w:tab w:val="left" w:pos="720"/>
          <w:tab w:val="left" w:pos="1440"/>
          <w:tab w:val="left" w:pos="2160"/>
          <w:tab w:val="left" w:pos="2880"/>
          <w:tab w:val="left" w:pos="3600"/>
          <w:tab w:val="center" w:pos="4680"/>
        </w:tabs>
      </w:pPr>
      <w:r>
        <w:t>I agree to Kiffe’s claims of the impracticability of the contract because the</w:t>
      </w:r>
      <w:r w:rsidR="00C17D7B">
        <w:t xml:space="preserve"> delivery was not done within 60-90 days as agreed upon in the contract. The train wreck was </w:t>
      </w:r>
      <w:r w:rsidR="00B34130">
        <w:t>unforeseeable.</w:t>
      </w:r>
    </w:p>
    <w:p w14:paraId="784E0FC3" w14:textId="775C3543" w:rsidR="00B34130" w:rsidRDefault="00B34130" w:rsidP="00CD147C">
      <w:pPr>
        <w:pStyle w:val="ListParagraph"/>
        <w:numPr>
          <w:ilvl w:val="0"/>
          <w:numId w:val="32"/>
        </w:numPr>
        <w:tabs>
          <w:tab w:val="left" w:pos="720"/>
          <w:tab w:val="left" w:pos="1440"/>
          <w:tab w:val="left" w:pos="2160"/>
          <w:tab w:val="left" w:pos="2880"/>
          <w:tab w:val="left" w:pos="3600"/>
          <w:tab w:val="center" w:pos="4680"/>
        </w:tabs>
      </w:pPr>
      <w:r>
        <w:t xml:space="preserve">Assuming that the boots were not identified in the contract, Kiffe would argue that the derailment was an unforeseen contingency by the time the parties were contracting </w:t>
      </w:r>
    </w:p>
    <w:p w14:paraId="27743285" w14:textId="243631BF" w:rsidR="00B34130" w:rsidRDefault="00DB7686" w:rsidP="00CD147C">
      <w:pPr>
        <w:pStyle w:val="ListParagraph"/>
        <w:numPr>
          <w:ilvl w:val="0"/>
          <w:numId w:val="32"/>
        </w:numPr>
        <w:tabs>
          <w:tab w:val="left" w:pos="720"/>
          <w:tab w:val="left" w:pos="1440"/>
          <w:tab w:val="left" w:pos="2160"/>
          <w:tab w:val="left" w:pos="2880"/>
          <w:tab w:val="left" w:pos="3600"/>
          <w:tab w:val="center" w:pos="4680"/>
        </w:tabs>
      </w:pPr>
      <w:r>
        <w:t xml:space="preserve">The measure of damages would have been the excess cost incurred in freight charges incurred </w:t>
      </w:r>
      <w:r w:rsidR="006E3EFF">
        <w:t>because</w:t>
      </w:r>
      <w:r>
        <w:t xml:space="preserve"> of sending the supply due to the derailment. No, Bende is not entitled to </w:t>
      </w:r>
      <w:r>
        <w:lastRenderedPageBreak/>
        <w:t>lost profits. The damages are measured in terms of the non-conformity to the contract or breach of the contract.</w:t>
      </w:r>
    </w:p>
    <w:p w14:paraId="1F2B809C" w14:textId="75AF5BB7" w:rsidR="00DB7686" w:rsidRDefault="00DB7686" w:rsidP="00CD147C">
      <w:pPr>
        <w:pStyle w:val="ListParagraph"/>
        <w:numPr>
          <w:ilvl w:val="0"/>
          <w:numId w:val="32"/>
        </w:numPr>
        <w:tabs>
          <w:tab w:val="left" w:pos="720"/>
          <w:tab w:val="left" w:pos="1440"/>
          <w:tab w:val="left" w:pos="2160"/>
          <w:tab w:val="left" w:pos="2880"/>
          <w:tab w:val="left" w:pos="3600"/>
          <w:tab w:val="center" w:pos="4680"/>
        </w:tabs>
      </w:pPr>
      <w:r>
        <w:t xml:space="preserve">Wait until the next chapter </w:t>
      </w:r>
    </w:p>
    <w:p w14:paraId="584BE463" w14:textId="77777777" w:rsidR="00E45FE0" w:rsidRPr="00CD147C" w:rsidRDefault="00E45FE0" w:rsidP="00E45FE0">
      <w:pPr>
        <w:pStyle w:val="ListParagraph"/>
        <w:tabs>
          <w:tab w:val="left" w:pos="720"/>
          <w:tab w:val="left" w:pos="1440"/>
          <w:tab w:val="left" w:pos="2160"/>
          <w:tab w:val="left" w:pos="2880"/>
          <w:tab w:val="left" w:pos="3600"/>
          <w:tab w:val="center" w:pos="4680"/>
        </w:tabs>
      </w:pPr>
    </w:p>
    <w:p w14:paraId="1E07A253" w14:textId="06BE36DA" w:rsidR="00665C64" w:rsidRPr="00524723" w:rsidRDefault="00665C64" w:rsidP="00401709">
      <w:pPr>
        <w:tabs>
          <w:tab w:val="left" w:pos="720"/>
          <w:tab w:val="left" w:pos="1440"/>
          <w:tab w:val="left" w:pos="2160"/>
          <w:tab w:val="left" w:pos="2880"/>
          <w:tab w:val="left" w:pos="3600"/>
          <w:tab w:val="center" w:pos="4680"/>
        </w:tabs>
        <w:rPr>
          <w:i/>
        </w:rPr>
      </w:pPr>
      <w:r>
        <w:t>Q3.</w:t>
      </w:r>
      <w:r w:rsidR="00C17D7B">
        <w:t xml:space="preserve"> </w:t>
      </w:r>
      <w:r w:rsidR="00524723" w:rsidRPr="00524723">
        <w:rPr>
          <w:i/>
        </w:rPr>
        <w:t xml:space="preserve">Shantou Real Lingerie manufacturing Co. v. Native </w:t>
      </w:r>
      <w:r w:rsidR="00524723">
        <w:rPr>
          <w:i/>
        </w:rPr>
        <w:t>Group international limited., 2016 WL</w:t>
      </w:r>
      <w:r w:rsidR="00F26508">
        <w:rPr>
          <w:i/>
        </w:rPr>
        <w:t xml:space="preserve"> 4532911 (S.D.N.Y Aug 23, 2016)</w:t>
      </w:r>
    </w:p>
    <w:p w14:paraId="41F6DD3D" w14:textId="1B04F3BC" w:rsidR="00524723" w:rsidRDefault="00F26508" w:rsidP="00401709">
      <w:pPr>
        <w:tabs>
          <w:tab w:val="left" w:pos="720"/>
          <w:tab w:val="left" w:pos="1440"/>
          <w:tab w:val="left" w:pos="2160"/>
          <w:tab w:val="left" w:pos="2880"/>
          <w:tab w:val="left" w:pos="3600"/>
          <w:tab w:val="center" w:pos="4680"/>
        </w:tabs>
      </w:pPr>
      <w:r>
        <w:t>The law of sales should govern the contract or the parties’</w:t>
      </w:r>
      <w:r w:rsidR="006E3EFF">
        <w:t xml:space="preserve"> agreement</w:t>
      </w:r>
      <w:r>
        <w:t xml:space="preserve"> i.e. the transfer of ownership and the possession of tangible goods.</w:t>
      </w:r>
      <w:r w:rsidR="000737BE">
        <w:t xml:space="preserve"> In this case, there is need for a written agreement. The terms of the agreement should be;</w:t>
      </w:r>
    </w:p>
    <w:p w14:paraId="6EE02D4D" w14:textId="129DE89D" w:rsidR="000737BE" w:rsidRDefault="000737BE" w:rsidP="000737BE">
      <w:pPr>
        <w:pStyle w:val="ListParagraph"/>
        <w:numPr>
          <w:ilvl w:val="0"/>
          <w:numId w:val="33"/>
        </w:numPr>
        <w:tabs>
          <w:tab w:val="left" w:pos="720"/>
          <w:tab w:val="left" w:pos="1440"/>
          <w:tab w:val="left" w:pos="2160"/>
          <w:tab w:val="left" w:pos="2880"/>
          <w:tab w:val="left" w:pos="3600"/>
          <w:tab w:val="center" w:pos="4680"/>
        </w:tabs>
      </w:pPr>
      <w:r>
        <w:t>The performance and the nonperformance of the parties</w:t>
      </w:r>
    </w:p>
    <w:p w14:paraId="3850E640" w14:textId="1BC6D8C1" w:rsidR="000737BE" w:rsidRDefault="000737BE" w:rsidP="000737BE">
      <w:pPr>
        <w:pStyle w:val="ListParagraph"/>
        <w:numPr>
          <w:ilvl w:val="0"/>
          <w:numId w:val="33"/>
        </w:numPr>
        <w:tabs>
          <w:tab w:val="left" w:pos="720"/>
          <w:tab w:val="left" w:pos="1440"/>
          <w:tab w:val="left" w:pos="2160"/>
          <w:tab w:val="left" w:pos="2880"/>
          <w:tab w:val="left" w:pos="3600"/>
          <w:tab w:val="center" w:pos="4680"/>
        </w:tabs>
      </w:pPr>
      <w:r>
        <w:t xml:space="preserve">Remedies of the damages caused by the breach of contract </w:t>
      </w:r>
    </w:p>
    <w:p w14:paraId="36762A06" w14:textId="622F64AC" w:rsidR="000737BE" w:rsidRDefault="000737BE" w:rsidP="000737BE">
      <w:pPr>
        <w:pStyle w:val="ListParagraph"/>
        <w:numPr>
          <w:ilvl w:val="0"/>
          <w:numId w:val="33"/>
        </w:numPr>
        <w:tabs>
          <w:tab w:val="left" w:pos="720"/>
          <w:tab w:val="left" w:pos="1440"/>
          <w:tab w:val="left" w:pos="2160"/>
          <w:tab w:val="left" w:pos="2880"/>
          <w:tab w:val="left" w:pos="3600"/>
          <w:tab w:val="center" w:pos="4680"/>
        </w:tabs>
      </w:pPr>
      <w:r>
        <w:t>Business requirement such as the transaction</w:t>
      </w:r>
    </w:p>
    <w:p w14:paraId="5F2D269E" w14:textId="72802D25" w:rsidR="000737BE" w:rsidRDefault="000737BE" w:rsidP="000737BE">
      <w:pPr>
        <w:pStyle w:val="ListParagraph"/>
        <w:numPr>
          <w:ilvl w:val="0"/>
          <w:numId w:val="33"/>
        </w:numPr>
        <w:tabs>
          <w:tab w:val="left" w:pos="720"/>
          <w:tab w:val="left" w:pos="1440"/>
          <w:tab w:val="left" w:pos="2160"/>
          <w:tab w:val="left" w:pos="2880"/>
          <w:tab w:val="left" w:pos="3600"/>
          <w:tab w:val="center" w:pos="4680"/>
        </w:tabs>
      </w:pPr>
      <w:r>
        <w:t>Legal capacity of the parties involved</w:t>
      </w:r>
    </w:p>
    <w:p w14:paraId="4F650BBD" w14:textId="2AF7CB25" w:rsidR="000737BE" w:rsidRDefault="000737BE" w:rsidP="000737BE">
      <w:pPr>
        <w:pStyle w:val="ListParagraph"/>
        <w:numPr>
          <w:ilvl w:val="0"/>
          <w:numId w:val="33"/>
        </w:numPr>
        <w:tabs>
          <w:tab w:val="left" w:pos="720"/>
          <w:tab w:val="left" w:pos="1440"/>
          <w:tab w:val="left" w:pos="2160"/>
          <w:tab w:val="left" w:pos="2880"/>
          <w:tab w:val="left" w:pos="3600"/>
          <w:tab w:val="center" w:pos="4680"/>
        </w:tabs>
      </w:pPr>
      <w:r>
        <w:t>The intention to bound</w:t>
      </w:r>
    </w:p>
    <w:p w14:paraId="72858D04" w14:textId="77777777" w:rsidR="00E45FE0" w:rsidRDefault="00E45FE0" w:rsidP="00E45FE0">
      <w:pPr>
        <w:pStyle w:val="ListParagraph"/>
        <w:tabs>
          <w:tab w:val="left" w:pos="720"/>
          <w:tab w:val="left" w:pos="1440"/>
          <w:tab w:val="left" w:pos="2160"/>
          <w:tab w:val="left" w:pos="2880"/>
          <w:tab w:val="left" w:pos="3600"/>
          <w:tab w:val="center" w:pos="4680"/>
        </w:tabs>
      </w:pPr>
    </w:p>
    <w:p w14:paraId="427B61E3" w14:textId="40D71CBB" w:rsidR="00665C64" w:rsidRDefault="00665C64" w:rsidP="00401709">
      <w:pPr>
        <w:tabs>
          <w:tab w:val="left" w:pos="720"/>
          <w:tab w:val="left" w:pos="1440"/>
          <w:tab w:val="left" w:pos="2160"/>
          <w:tab w:val="left" w:pos="2880"/>
          <w:tab w:val="left" w:pos="3600"/>
          <w:tab w:val="center" w:pos="4680"/>
        </w:tabs>
        <w:rPr>
          <w:i/>
        </w:rPr>
      </w:pPr>
      <w:r>
        <w:t>Q5.</w:t>
      </w:r>
      <w:r w:rsidR="00F26508" w:rsidRPr="00F26508">
        <w:rPr>
          <w:i/>
        </w:rPr>
        <w:t xml:space="preserve"> MCF Liquidation, LLC v. International Suntrade, Inc. 2015 WL 12670169 (S.D lowa Nov, 16, 2015)</w:t>
      </w:r>
    </w:p>
    <w:p w14:paraId="5F87823E" w14:textId="0F125054" w:rsidR="009A5B40" w:rsidRPr="009A5B40" w:rsidRDefault="00C55257" w:rsidP="00401709">
      <w:pPr>
        <w:tabs>
          <w:tab w:val="left" w:pos="720"/>
          <w:tab w:val="left" w:pos="1440"/>
          <w:tab w:val="left" w:pos="2160"/>
          <w:tab w:val="left" w:pos="2880"/>
          <w:tab w:val="left" w:pos="3600"/>
          <w:tab w:val="center" w:pos="4680"/>
        </w:tabs>
      </w:pPr>
      <w:r>
        <w:tab/>
      </w:r>
      <w:r w:rsidR="009A5B40">
        <w:t>Mrs. Clark’s inspection was not performed in a timely manner as required by the CISG. On the other hand, the buyer who is Mrs. Clark, did not give any notice to MCF liquidation  of any defect within the reasonable time. The short period practicable pursuant to the CISG is two years. The notice of nonconformity should state the necessary details of why the goods are non-conforming.</w:t>
      </w:r>
    </w:p>
    <w:p w14:paraId="450C54C0" w14:textId="46E84AB4" w:rsidR="00EF2F0D" w:rsidRDefault="00665C64" w:rsidP="00401709">
      <w:pPr>
        <w:tabs>
          <w:tab w:val="left" w:pos="720"/>
          <w:tab w:val="left" w:pos="1440"/>
          <w:tab w:val="left" w:pos="2160"/>
          <w:tab w:val="left" w:pos="2880"/>
          <w:tab w:val="left" w:pos="3600"/>
          <w:tab w:val="center" w:pos="4680"/>
        </w:tabs>
        <w:rPr>
          <w:i/>
        </w:rPr>
      </w:pPr>
      <w:r>
        <w:lastRenderedPageBreak/>
        <w:t>Q6.</w:t>
      </w:r>
      <w:r w:rsidR="00EF2F0D">
        <w:t xml:space="preserve"> </w:t>
      </w:r>
      <w:r w:rsidR="00EF2F0D" w:rsidRPr="00EF2F0D">
        <w:rPr>
          <w:i/>
        </w:rPr>
        <w:t>Mint LLC v. Gosoftware, Inc 2006 U.S Dist. LEXIS 1569 (M.D. Pa. 2006)</w:t>
      </w:r>
    </w:p>
    <w:p w14:paraId="5886C57D" w14:textId="28073F0D" w:rsidR="00EF2F0D" w:rsidRDefault="00EF2F0D" w:rsidP="00401709">
      <w:pPr>
        <w:tabs>
          <w:tab w:val="left" w:pos="720"/>
          <w:tab w:val="left" w:pos="1440"/>
          <w:tab w:val="left" w:pos="2160"/>
          <w:tab w:val="left" w:pos="2880"/>
          <w:tab w:val="left" w:pos="3600"/>
          <w:tab w:val="center" w:pos="4680"/>
        </w:tabs>
      </w:pPr>
      <w:r>
        <w:tab/>
        <w:t>In this case, the motion by the plaintif</w:t>
      </w:r>
      <w:r w:rsidR="006E3EFF">
        <w:t>f</w:t>
      </w:r>
      <w:r>
        <w:t xml:space="preserve"> arose after claims that the transaction was subject to CISG, however, this is not applicable to the CISG. This is because the CISG only applies to buyers and se</w:t>
      </w:r>
      <w:r w:rsidR="007F224C">
        <w:t xml:space="preserve">llers and not to third parties who in this case is the German parent. </w:t>
      </w:r>
    </w:p>
    <w:p w14:paraId="087FD79B" w14:textId="77777777" w:rsidR="00E45FE0" w:rsidRPr="00EF2F0D" w:rsidRDefault="00E45FE0" w:rsidP="00401709">
      <w:pPr>
        <w:tabs>
          <w:tab w:val="left" w:pos="720"/>
          <w:tab w:val="left" w:pos="1440"/>
          <w:tab w:val="left" w:pos="2160"/>
          <w:tab w:val="left" w:pos="2880"/>
          <w:tab w:val="left" w:pos="3600"/>
          <w:tab w:val="center" w:pos="4680"/>
        </w:tabs>
      </w:pPr>
    </w:p>
    <w:p w14:paraId="36EA664B" w14:textId="36ECBC94" w:rsidR="00DB7686" w:rsidRDefault="00665C64" w:rsidP="00401709">
      <w:pPr>
        <w:tabs>
          <w:tab w:val="left" w:pos="720"/>
          <w:tab w:val="left" w:pos="1440"/>
          <w:tab w:val="left" w:pos="2160"/>
          <w:tab w:val="left" w:pos="2880"/>
          <w:tab w:val="left" w:pos="3600"/>
          <w:tab w:val="center" w:pos="4680"/>
        </w:tabs>
      </w:pPr>
      <w:r>
        <w:t>Q7.</w:t>
      </w:r>
      <w:r w:rsidR="008F24C4">
        <w:t xml:space="preserve"> </w:t>
      </w:r>
      <w:r w:rsidR="008F24C4" w:rsidRPr="0091014C">
        <w:rPr>
          <w:i/>
        </w:rPr>
        <w:t>Sky Cast, Inc v.</w:t>
      </w:r>
      <w:r w:rsidRPr="0091014C">
        <w:rPr>
          <w:i/>
        </w:rPr>
        <w:t xml:space="preserve"> </w:t>
      </w:r>
      <w:r w:rsidR="008F24C4" w:rsidRPr="0091014C">
        <w:rPr>
          <w:i/>
        </w:rPr>
        <w:t>Global Direct Dist</w:t>
      </w:r>
      <w:r w:rsidR="0091014C" w:rsidRPr="0091014C">
        <w:rPr>
          <w:i/>
        </w:rPr>
        <w:t>ribution LLC, 2008 U.S Dist. LEXIS 21121 (E.D. Ky. 2008)</w:t>
      </w:r>
    </w:p>
    <w:p w14:paraId="301A8BCC" w14:textId="1711A935" w:rsidR="008F24C4" w:rsidRDefault="0091014C" w:rsidP="00401709">
      <w:pPr>
        <w:tabs>
          <w:tab w:val="left" w:pos="720"/>
          <w:tab w:val="left" w:pos="1440"/>
          <w:tab w:val="left" w:pos="2160"/>
          <w:tab w:val="left" w:pos="2880"/>
          <w:tab w:val="left" w:pos="3600"/>
          <w:tab w:val="center" w:pos="4680"/>
        </w:tabs>
      </w:pPr>
      <w:r>
        <w:t>The judgement is appropriate. This is because there was a breach of contract and the buyer used the contract price balance to redeem damages incurred. Therefore</w:t>
      </w:r>
      <w:r w:rsidR="001D0465">
        <w:t>, the</w:t>
      </w:r>
      <w:r>
        <w:t xml:space="preserve"> interpretation of Article 39 is too expansive. The Article is intended to make a counterclaim</w:t>
      </w:r>
      <w:r w:rsidR="006B1AA2">
        <w:t xml:space="preserve"> for negligent misrepresentation.</w:t>
      </w:r>
    </w:p>
    <w:p w14:paraId="49CF42F8" w14:textId="4FE6F548" w:rsidR="00DB7686" w:rsidRPr="00DB7686" w:rsidRDefault="00DB7686" w:rsidP="00401709">
      <w:pPr>
        <w:tabs>
          <w:tab w:val="left" w:pos="720"/>
          <w:tab w:val="left" w:pos="1440"/>
          <w:tab w:val="left" w:pos="2160"/>
          <w:tab w:val="left" w:pos="2880"/>
          <w:tab w:val="left" w:pos="3600"/>
          <w:tab w:val="center" w:pos="4680"/>
        </w:tabs>
        <w:rPr>
          <w:b/>
        </w:rPr>
      </w:pPr>
      <w:bookmarkStart w:id="0" w:name="_GoBack"/>
      <w:bookmarkEnd w:id="0"/>
      <w:r w:rsidRPr="00DB7686">
        <w:rPr>
          <w:b/>
        </w:rPr>
        <w:t xml:space="preserve">Question 8: Ethical consideration </w:t>
      </w:r>
    </w:p>
    <w:p w14:paraId="6A5CB900" w14:textId="4EEC6254" w:rsidR="00DB7686" w:rsidRPr="00665C64" w:rsidRDefault="00DB7686" w:rsidP="00401709">
      <w:pPr>
        <w:tabs>
          <w:tab w:val="left" w:pos="720"/>
          <w:tab w:val="left" w:pos="1440"/>
          <w:tab w:val="left" w:pos="2160"/>
          <w:tab w:val="left" w:pos="2880"/>
          <w:tab w:val="left" w:pos="3600"/>
          <w:tab w:val="center" w:pos="4680"/>
        </w:tabs>
      </w:pPr>
      <w:r>
        <w:tab/>
      </w:r>
      <w:r w:rsidR="00524723">
        <w:t xml:space="preserve">I agree with Schelechtriem that CISG is not a proper instrument to promote moral convictions. The best idea would be to address such convictions such as the action of fraud and manufacturing standards. Therefore, CISG is ethically challenged and is not a proper tool to address trade in ethically tainted goods. CISG needs to promote uniformity in respect to the standards of goods contracted in agreements. </w:t>
      </w:r>
    </w:p>
    <w:sectPr w:rsidR="00DB7686" w:rsidRPr="00665C64"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F0D94" w14:textId="77777777" w:rsidR="0093307E" w:rsidRDefault="0093307E" w:rsidP="00785867">
      <w:pPr>
        <w:spacing w:after="0" w:line="240" w:lineRule="auto"/>
      </w:pPr>
      <w:r>
        <w:separator/>
      </w:r>
    </w:p>
  </w:endnote>
  <w:endnote w:type="continuationSeparator" w:id="0">
    <w:p w14:paraId="735071CC" w14:textId="77777777" w:rsidR="0093307E" w:rsidRDefault="0093307E"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DA245" w14:textId="77777777" w:rsidR="0093307E" w:rsidRDefault="0093307E" w:rsidP="00785867">
      <w:pPr>
        <w:spacing w:after="0" w:line="240" w:lineRule="auto"/>
      </w:pPr>
      <w:r>
        <w:separator/>
      </w:r>
    </w:p>
  </w:footnote>
  <w:footnote w:type="continuationSeparator" w:id="0">
    <w:p w14:paraId="03DB8DE3" w14:textId="77777777" w:rsidR="0093307E" w:rsidRDefault="0093307E"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524723" w:rsidRDefault="00524723" w:rsidP="0052472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524723" w:rsidRDefault="00524723"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524723" w:rsidRDefault="00524723" w:rsidP="0052472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45FE0">
      <w:rPr>
        <w:rStyle w:val="PageNumber"/>
        <w:noProof/>
      </w:rPr>
      <w:t>9</w:t>
    </w:r>
    <w:r>
      <w:rPr>
        <w:rStyle w:val="PageNumber"/>
      </w:rPr>
      <w:fldChar w:fldCharType="end"/>
    </w:r>
  </w:p>
  <w:p w14:paraId="6EB7DD11" w14:textId="121A19E3" w:rsidR="00524723" w:rsidRDefault="00524723" w:rsidP="007D5ED7">
    <w:pPr>
      <w:pStyle w:val="Header"/>
      <w:ind w:right="360"/>
    </w:pPr>
    <w:r>
      <w:t xml:space="preserve">BUSINESS LAW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524723" w:rsidRDefault="00524723" w:rsidP="0052472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45FE0">
      <w:rPr>
        <w:rStyle w:val="PageNumber"/>
        <w:noProof/>
      </w:rPr>
      <w:t>1</w:t>
    </w:r>
    <w:r>
      <w:rPr>
        <w:rStyle w:val="PageNumber"/>
      </w:rPr>
      <w:fldChar w:fldCharType="end"/>
    </w:r>
  </w:p>
  <w:p w14:paraId="7102B378" w14:textId="5CA2540E" w:rsidR="00524723" w:rsidRDefault="00524723" w:rsidP="00785867">
    <w:pPr>
      <w:pStyle w:val="Header"/>
      <w:ind w:right="360"/>
    </w:pPr>
    <w:r>
      <w:t xml:space="preserve">Running Head: BUSINESS LAW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791E"/>
    <w:multiLevelType w:val="hybridMultilevel"/>
    <w:tmpl w:val="B56A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22D9"/>
    <w:multiLevelType w:val="hybridMultilevel"/>
    <w:tmpl w:val="EC5870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C58E5"/>
    <w:multiLevelType w:val="hybridMultilevel"/>
    <w:tmpl w:val="214232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58F608A"/>
    <w:multiLevelType w:val="hybridMultilevel"/>
    <w:tmpl w:val="8392F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F315FA"/>
    <w:multiLevelType w:val="hybridMultilevel"/>
    <w:tmpl w:val="72FA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F0C09"/>
    <w:multiLevelType w:val="hybridMultilevel"/>
    <w:tmpl w:val="E416C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1"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F562F1"/>
    <w:multiLevelType w:val="hybridMultilevel"/>
    <w:tmpl w:val="F0D016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C80877"/>
    <w:multiLevelType w:val="hybridMultilevel"/>
    <w:tmpl w:val="2DAA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DA145A"/>
    <w:multiLevelType w:val="hybridMultilevel"/>
    <w:tmpl w:val="74BCF25E"/>
    <w:lvl w:ilvl="0" w:tplc="26AAA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9D0BB1"/>
    <w:multiLevelType w:val="hybridMultilevel"/>
    <w:tmpl w:val="60B8E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116B1B"/>
    <w:multiLevelType w:val="hybridMultilevel"/>
    <w:tmpl w:val="49162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00366B"/>
    <w:multiLevelType w:val="hybridMultilevel"/>
    <w:tmpl w:val="DE4A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300055"/>
    <w:multiLevelType w:val="hybridMultilevel"/>
    <w:tmpl w:val="EDE6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1A303A"/>
    <w:multiLevelType w:val="hybridMultilevel"/>
    <w:tmpl w:val="0F00EA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7236B0"/>
    <w:multiLevelType w:val="hybridMultilevel"/>
    <w:tmpl w:val="92B6F8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83751C"/>
    <w:multiLevelType w:val="hybridMultilevel"/>
    <w:tmpl w:val="1C70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B527EF"/>
    <w:multiLevelType w:val="hybridMultilevel"/>
    <w:tmpl w:val="51128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123496"/>
    <w:multiLevelType w:val="hybridMultilevel"/>
    <w:tmpl w:val="3B326B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8"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6A6E8F"/>
    <w:multiLevelType w:val="hybridMultilevel"/>
    <w:tmpl w:val="5AF4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6F2002"/>
    <w:multiLevelType w:val="hybridMultilevel"/>
    <w:tmpl w:val="815C4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A95095"/>
    <w:multiLevelType w:val="hybridMultilevel"/>
    <w:tmpl w:val="C8CCF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6"/>
  </w:num>
  <w:num w:numId="3">
    <w:abstractNumId w:val="5"/>
  </w:num>
  <w:num w:numId="4">
    <w:abstractNumId w:val="25"/>
  </w:num>
  <w:num w:numId="5">
    <w:abstractNumId w:val="4"/>
  </w:num>
  <w:num w:numId="6">
    <w:abstractNumId w:val="10"/>
  </w:num>
  <w:num w:numId="7">
    <w:abstractNumId w:val="27"/>
  </w:num>
  <w:num w:numId="8">
    <w:abstractNumId w:val="29"/>
  </w:num>
  <w:num w:numId="9">
    <w:abstractNumId w:val="32"/>
  </w:num>
  <w:num w:numId="10">
    <w:abstractNumId w:val="16"/>
  </w:num>
  <w:num w:numId="11">
    <w:abstractNumId w:val="11"/>
  </w:num>
  <w:num w:numId="12">
    <w:abstractNumId w:val="7"/>
  </w:num>
  <w:num w:numId="13">
    <w:abstractNumId w:val="12"/>
  </w:num>
  <w:num w:numId="14">
    <w:abstractNumId w:val="19"/>
  </w:num>
  <w:num w:numId="15">
    <w:abstractNumId w:val="18"/>
  </w:num>
  <w:num w:numId="16">
    <w:abstractNumId w:val="2"/>
  </w:num>
  <w:num w:numId="17">
    <w:abstractNumId w:val="26"/>
  </w:num>
  <w:num w:numId="18">
    <w:abstractNumId w:val="8"/>
  </w:num>
  <w:num w:numId="19">
    <w:abstractNumId w:val="23"/>
  </w:num>
  <w:num w:numId="20">
    <w:abstractNumId w:val="20"/>
  </w:num>
  <w:num w:numId="21">
    <w:abstractNumId w:val="9"/>
  </w:num>
  <w:num w:numId="22">
    <w:abstractNumId w:val="30"/>
  </w:num>
  <w:num w:numId="23">
    <w:abstractNumId w:val="24"/>
  </w:num>
  <w:num w:numId="24">
    <w:abstractNumId w:val="22"/>
  </w:num>
  <w:num w:numId="25">
    <w:abstractNumId w:val="33"/>
  </w:num>
  <w:num w:numId="26">
    <w:abstractNumId w:val="0"/>
  </w:num>
  <w:num w:numId="27">
    <w:abstractNumId w:val="15"/>
  </w:num>
  <w:num w:numId="28">
    <w:abstractNumId w:val="14"/>
  </w:num>
  <w:num w:numId="29">
    <w:abstractNumId w:val="3"/>
  </w:num>
  <w:num w:numId="30">
    <w:abstractNumId w:val="17"/>
  </w:num>
  <w:num w:numId="31">
    <w:abstractNumId w:val="31"/>
  </w:num>
  <w:num w:numId="32">
    <w:abstractNumId w:val="21"/>
  </w:num>
  <w:num w:numId="33">
    <w:abstractNumId w:val="13"/>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2E7"/>
    <w:rsid w:val="00001DA1"/>
    <w:rsid w:val="00007105"/>
    <w:rsid w:val="0001580B"/>
    <w:rsid w:val="00022392"/>
    <w:rsid w:val="00022426"/>
    <w:rsid w:val="00024050"/>
    <w:rsid w:val="0003481A"/>
    <w:rsid w:val="000353E0"/>
    <w:rsid w:val="00054DBB"/>
    <w:rsid w:val="000737BE"/>
    <w:rsid w:val="00077E9F"/>
    <w:rsid w:val="00077FAD"/>
    <w:rsid w:val="000908E9"/>
    <w:rsid w:val="0009465F"/>
    <w:rsid w:val="000A15B9"/>
    <w:rsid w:val="000C31AB"/>
    <w:rsid w:val="001242CB"/>
    <w:rsid w:val="001261B4"/>
    <w:rsid w:val="0014122D"/>
    <w:rsid w:val="00146F99"/>
    <w:rsid w:val="00157A96"/>
    <w:rsid w:val="00167E3C"/>
    <w:rsid w:val="00176D0A"/>
    <w:rsid w:val="0018343D"/>
    <w:rsid w:val="0019461C"/>
    <w:rsid w:val="00195396"/>
    <w:rsid w:val="001A0479"/>
    <w:rsid w:val="001A1A1E"/>
    <w:rsid w:val="001A1AEC"/>
    <w:rsid w:val="001A50A5"/>
    <w:rsid w:val="001A79EF"/>
    <w:rsid w:val="001B65CC"/>
    <w:rsid w:val="001B6BC3"/>
    <w:rsid w:val="001D0465"/>
    <w:rsid w:val="001D592C"/>
    <w:rsid w:val="001D7D44"/>
    <w:rsid w:val="001E0F62"/>
    <w:rsid w:val="001E6779"/>
    <w:rsid w:val="001F58AC"/>
    <w:rsid w:val="002018CE"/>
    <w:rsid w:val="00210C43"/>
    <w:rsid w:val="0021701D"/>
    <w:rsid w:val="00217D1B"/>
    <w:rsid w:val="00227616"/>
    <w:rsid w:val="0023340B"/>
    <w:rsid w:val="002367D6"/>
    <w:rsid w:val="00240BF2"/>
    <w:rsid w:val="0024100A"/>
    <w:rsid w:val="00250EEE"/>
    <w:rsid w:val="00252E58"/>
    <w:rsid w:val="00253840"/>
    <w:rsid w:val="00254BC1"/>
    <w:rsid w:val="00255DBB"/>
    <w:rsid w:val="002565CF"/>
    <w:rsid w:val="00262DA1"/>
    <w:rsid w:val="00282F82"/>
    <w:rsid w:val="002A2D23"/>
    <w:rsid w:val="002B0465"/>
    <w:rsid w:val="002B3779"/>
    <w:rsid w:val="002C3486"/>
    <w:rsid w:val="002F544D"/>
    <w:rsid w:val="00303580"/>
    <w:rsid w:val="00305228"/>
    <w:rsid w:val="0032267E"/>
    <w:rsid w:val="003261C0"/>
    <w:rsid w:val="00332F37"/>
    <w:rsid w:val="0033439C"/>
    <w:rsid w:val="00347C2E"/>
    <w:rsid w:val="003540C6"/>
    <w:rsid w:val="00354D92"/>
    <w:rsid w:val="0036668A"/>
    <w:rsid w:val="00387722"/>
    <w:rsid w:val="0039631B"/>
    <w:rsid w:val="003B16F1"/>
    <w:rsid w:val="003C0B22"/>
    <w:rsid w:val="003D3925"/>
    <w:rsid w:val="003F33B6"/>
    <w:rsid w:val="00401709"/>
    <w:rsid w:val="004027C1"/>
    <w:rsid w:val="004065F7"/>
    <w:rsid w:val="004068B8"/>
    <w:rsid w:val="004167D6"/>
    <w:rsid w:val="00427B50"/>
    <w:rsid w:val="00435472"/>
    <w:rsid w:val="00436F74"/>
    <w:rsid w:val="00452CDF"/>
    <w:rsid w:val="00456BE0"/>
    <w:rsid w:val="00456F0F"/>
    <w:rsid w:val="00460C52"/>
    <w:rsid w:val="00482CCE"/>
    <w:rsid w:val="00486A3B"/>
    <w:rsid w:val="004B1614"/>
    <w:rsid w:val="004B3660"/>
    <w:rsid w:val="004B459D"/>
    <w:rsid w:val="004B5D43"/>
    <w:rsid w:val="004B7262"/>
    <w:rsid w:val="004C6955"/>
    <w:rsid w:val="004E3D9F"/>
    <w:rsid w:val="004E40A0"/>
    <w:rsid w:val="004F4234"/>
    <w:rsid w:val="004F5D35"/>
    <w:rsid w:val="00501D27"/>
    <w:rsid w:val="00515F5B"/>
    <w:rsid w:val="00520D04"/>
    <w:rsid w:val="005241C6"/>
    <w:rsid w:val="00524723"/>
    <w:rsid w:val="00525684"/>
    <w:rsid w:val="00525D22"/>
    <w:rsid w:val="0052637E"/>
    <w:rsid w:val="00531813"/>
    <w:rsid w:val="005338FB"/>
    <w:rsid w:val="005414A6"/>
    <w:rsid w:val="005446FC"/>
    <w:rsid w:val="00557D86"/>
    <w:rsid w:val="00557F0D"/>
    <w:rsid w:val="005844DA"/>
    <w:rsid w:val="00591C0E"/>
    <w:rsid w:val="00592E0F"/>
    <w:rsid w:val="005C61CC"/>
    <w:rsid w:val="005E0C55"/>
    <w:rsid w:val="005E14D5"/>
    <w:rsid w:val="005E6DBB"/>
    <w:rsid w:val="005F242E"/>
    <w:rsid w:val="005F299D"/>
    <w:rsid w:val="005F5838"/>
    <w:rsid w:val="00602E18"/>
    <w:rsid w:val="00605835"/>
    <w:rsid w:val="00622B52"/>
    <w:rsid w:val="006277B2"/>
    <w:rsid w:val="00635DDD"/>
    <w:rsid w:val="0064386B"/>
    <w:rsid w:val="00645D34"/>
    <w:rsid w:val="00655E3E"/>
    <w:rsid w:val="0066598D"/>
    <w:rsid w:val="00665C64"/>
    <w:rsid w:val="00672A4E"/>
    <w:rsid w:val="00675A9B"/>
    <w:rsid w:val="00675B34"/>
    <w:rsid w:val="006827E4"/>
    <w:rsid w:val="006943D0"/>
    <w:rsid w:val="006B1AA2"/>
    <w:rsid w:val="006B7FCE"/>
    <w:rsid w:val="006C3D24"/>
    <w:rsid w:val="006C486C"/>
    <w:rsid w:val="006D078A"/>
    <w:rsid w:val="006D6602"/>
    <w:rsid w:val="006D779D"/>
    <w:rsid w:val="006E3EFF"/>
    <w:rsid w:val="006E49F8"/>
    <w:rsid w:val="006E7153"/>
    <w:rsid w:val="006F5B81"/>
    <w:rsid w:val="00706FDD"/>
    <w:rsid w:val="007106D9"/>
    <w:rsid w:val="00712ABB"/>
    <w:rsid w:val="00712E12"/>
    <w:rsid w:val="00732EE8"/>
    <w:rsid w:val="007509E1"/>
    <w:rsid w:val="007529B2"/>
    <w:rsid w:val="00755267"/>
    <w:rsid w:val="00763E96"/>
    <w:rsid w:val="00785867"/>
    <w:rsid w:val="00796584"/>
    <w:rsid w:val="007A0094"/>
    <w:rsid w:val="007A3A34"/>
    <w:rsid w:val="007A476C"/>
    <w:rsid w:val="007C4503"/>
    <w:rsid w:val="007D23E1"/>
    <w:rsid w:val="007D5983"/>
    <w:rsid w:val="007D5ED7"/>
    <w:rsid w:val="007E690E"/>
    <w:rsid w:val="007F224C"/>
    <w:rsid w:val="007F5B11"/>
    <w:rsid w:val="007F689E"/>
    <w:rsid w:val="00805276"/>
    <w:rsid w:val="0081468B"/>
    <w:rsid w:val="00821343"/>
    <w:rsid w:val="00823B2A"/>
    <w:rsid w:val="008365AB"/>
    <w:rsid w:val="008470FC"/>
    <w:rsid w:val="00853E31"/>
    <w:rsid w:val="00856594"/>
    <w:rsid w:val="00857CE6"/>
    <w:rsid w:val="00870EC4"/>
    <w:rsid w:val="00874FF6"/>
    <w:rsid w:val="00882284"/>
    <w:rsid w:val="0088278C"/>
    <w:rsid w:val="008835FA"/>
    <w:rsid w:val="00890417"/>
    <w:rsid w:val="008A0BBE"/>
    <w:rsid w:val="008A1C3E"/>
    <w:rsid w:val="008A4241"/>
    <w:rsid w:val="008A523C"/>
    <w:rsid w:val="008A634E"/>
    <w:rsid w:val="008B31B7"/>
    <w:rsid w:val="008B42E6"/>
    <w:rsid w:val="008B48BB"/>
    <w:rsid w:val="008B5941"/>
    <w:rsid w:val="008D0106"/>
    <w:rsid w:val="008D1C05"/>
    <w:rsid w:val="008D4820"/>
    <w:rsid w:val="008E1900"/>
    <w:rsid w:val="008F24C4"/>
    <w:rsid w:val="008F5008"/>
    <w:rsid w:val="008F785B"/>
    <w:rsid w:val="009037C6"/>
    <w:rsid w:val="0091014C"/>
    <w:rsid w:val="0093307E"/>
    <w:rsid w:val="0093553E"/>
    <w:rsid w:val="0093756A"/>
    <w:rsid w:val="00941368"/>
    <w:rsid w:val="00944040"/>
    <w:rsid w:val="00953299"/>
    <w:rsid w:val="009626E5"/>
    <w:rsid w:val="009747B5"/>
    <w:rsid w:val="00995A66"/>
    <w:rsid w:val="009A10A7"/>
    <w:rsid w:val="009A3E8B"/>
    <w:rsid w:val="009A5B40"/>
    <w:rsid w:val="009A69AF"/>
    <w:rsid w:val="009B4543"/>
    <w:rsid w:val="009B4FC8"/>
    <w:rsid w:val="009E4A7A"/>
    <w:rsid w:val="009F1A6E"/>
    <w:rsid w:val="009F1BCE"/>
    <w:rsid w:val="00A011F9"/>
    <w:rsid w:val="00A01877"/>
    <w:rsid w:val="00A07CC1"/>
    <w:rsid w:val="00A14488"/>
    <w:rsid w:val="00A227A7"/>
    <w:rsid w:val="00A2643C"/>
    <w:rsid w:val="00A2734D"/>
    <w:rsid w:val="00A42BAC"/>
    <w:rsid w:val="00A5624E"/>
    <w:rsid w:val="00A627C7"/>
    <w:rsid w:val="00A63BD3"/>
    <w:rsid w:val="00A64F0F"/>
    <w:rsid w:val="00A65603"/>
    <w:rsid w:val="00A73B45"/>
    <w:rsid w:val="00A90699"/>
    <w:rsid w:val="00A933D0"/>
    <w:rsid w:val="00AA34FE"/>
    <w:rsid w:val="00AA711A"/>
    <w:rsid w:val="00AB1956"/>
    <w:rsid w:val="00AC4861"/>
    <w:rsid w:val="00AE6DC5"/>
    <w:rsid w:val="00AF412D"/>
    <w:rsid w:val="00AF731F"/>
    <w:rsid w:val="00B00BA1"/>
    <w:rsid w:val="00B031A2"/>
    <w:rsid w:val="00B12316"/>
    <w:rsid w:val="00B3035B"/>
    <w:rsid w:val="00B34130"/>
    <w:rsid w:val="00B4073B"/>
    <w:rsid w:val="00B55826"/>
    <w:rsid w:val="00B57DAA"/>
    <w:rsid w:val="00B63AA5"/>
    <w:rsid w:val="00B66F19"/>
    <w:rsid w:val="00B73E58"/>
    <w:rsid w:val="00B83ED4"/>
    <w:rsid w:val="00BB3BA1"/>
    <w:rsid w:val="00BB4ED3"/>
    <w:rsid w:val="00BC336C"/>
    <w:rsid w:val="00BD0B9A"/>
    <w:rsid w:val="00BD4856"/>
    <w:rsid w:val="00BE3644"/>
    <w:rsid w:val="00BE7FFD"/>
    <w:rsid w:val="00BF5716"/>
    <w:rsid w:val="00BF73D1"/>
    <w:rsid w:val="00BF77C9"/>
    <w:rsid w:val="00C07AD3"/>
    <w:rsid w:val="00C17D7B"/>
    <w:rsid w:val="00C20126"/>
    <w:rsid w:val="00C41C1D"/>
    <w:rsid w:val="00C45EF0"/>
    <w:rsid w:val="00C46C63"/>
    <w:rsid w:val="00C517EA"/>
    <w:rsid w:val="00C55257"/>
    <w:rsid w:val="00C61243"/>
    <w:rsid w:val="00C801A5"/>
    <w:rsid w:val="00C808BF"/>
    <w:rsid w:val="00C844DA"/>
    <w:rsid w:val="00C918D7"/>
    <w:rsid w:val="00C93E4A"/>
    <w:rsid w:val="00CB18EA"/>
    <w:rsid w:val="00CB2353"/>
    <w:rsid w:val="00CB59C0"/>
    <w:rsid w:val="00CB6113"/>
    <w:rsid w:val="00CC0629"/>
    <w:rsid w:val="00CD147C"/>
    <w:rsid w:val="00CD6AA9"/>
    <w:rsid w:val="00CE0CCC"/>
    <w:rsid w:val="00CF03B3"/>
    <w:rsid w:val="00CF1DAE"/>
    <w:rsid w:val="00CF4A92"/>
    <w:rsid w:val="00CF6C8E"/>
    <w:rsid w:val="00CF6F2C"/>
    <w:rsid w:val="00D06D21"/>
    <w:rsid w:val="00D177A3"/>
    <w:rsid w:val="00D4676F"/>
    <w:rsid w:val="00D52C07"/>
    <w:rsid w:val="00D71000"/>
    <w:rsid w:val="00D7119D"/>
    <w:rsid w:val="00D747D4"/>
    <w:rsid w:val="00D75477"/>
    <w:rsid w:val="00D83019"/>
    <w:rsid w:val="00D92609"/>
    <w:rsid w:val="00D9615A"/>
    <w:rsid w:val="00DA2E67"/>
    <w:rsid w:val="00DB428D"/>
    <w:rsid w:val="00DB66D1"/>
    <w:rsid w:val="00DB7686"/>
    <w:rsid w:val="00DC2310"/>
    <w:rsid w:val="00DD44A3"/>
    <w:rsid w:val="00DF05EF"/>
    <w:rsid w:val="00E01DA9"/>
    <w:rsid w:val="00E13AFD"/>
    <w:rsid w:val="00E17E5C"/>
    <w:rsid w:val="00E22C37"/>
    <w:rsid w:val="00E25D63"/>
    <w:rsid w:val="00E36791"/>
    <w:rsid w:val="00E41B3F"/>
    <w:rsid w:val="00E457F7"/>
    <w:rsid w:val="00E45FE0"/>
    <w:rsid w:val="00E632B1"/>
    <w:rsid w:val="00E633A3"/>
    <w:rsid w:val="00E63C7D"/>
    <w:rsid w:val="00E721B2"/>
    <w:rsid w:val="00E83455"/>
    <w:rsid w:val="00E8568B"/>
    <w:rsid w:val="00E96890"/>
    <w:rsid w:val="00E96FBB"/>
    <w:rsid w:val="00EA0CAA"/>
    <w:rsid w:val="00EA177E"/>
    <w:rsid w:val="00EB457A"/>
    <w:rsid w:val="00EB77AE"/>
    <w:rsid w:val="00EC5A03"/>
    <w:rsid w:val="00ED3167"/>
    <w:rsid w:val="00ED3A76"/>
    <w:rsid w:val="00ED6A04"/>
    <w:rsid w:val="00EE0D9C"/>
    <w:rsid w:val="00EE70BC"/>
    <w:rsid w:val="00EF0ED1"/>
    <w:rsid w:val="00EF2932"/>
    <w:rsid w:val="00EF2F0D"/>
    <w:rsid w:val="00EF4835"/>
    <w:rsid w:val="00EF4987"/>
    <w:rsid w:val="00EF4E94"/>
    <w:rsid w:val="00F05457"/>
    <w:rsid w:val="00F060F0"/>
    <w:rsid w:val="00F10874"/>
    <w:rsid w:val="00F11B01"/>
    <w:rsid w:val="00F15D40"/>
    <w:rsid w:val="00F16217"/>
    <w:rsid w:val="00F217C6"/>
    <w:rsid w:val="00F26508"/>
    <w:rsid w:val="00F31588"/>
    <w:rsid w:val="00F3594E"/>
    <w:rsid w:val="00F36B0B"/>
    <w:rsid w:val="00F44013"/>
    <w:rsid w:val="00F52BA4"/>
    <w:rsid w:val="00F63838"/>
    <w:rsid w:val="00FA5F04"/>
    <w:rsid w:val="00FC5912"/>
    <w:rsid w:val="00FC72C9"/>
    <w:rsid w:val="00FE59BA"/>
    <w:rsid w:val="00FF20EE"/>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708</TotalTime>
  <Pages>10</Pages>
  <Words>2194</Words>
  <Characters>12507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31</cp:revision>
  <cp:lastPrinted>2018-08-28T00:44:00Z</cp:lastPrinted>
  <dcterms:created xsi:type="dcterms:W3CDTF">2018-09-24T09:11:00Z</dcterms:created>
  <dcterms:modified xsi:type="dcterms:W3CDTF">2018-09-24T23:27:00Z</dcterms:modified>
</cp:coreProperties>
</file>