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BLINK</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Affiliation</w:t>
      </w:r>
    </w:p>
    <w:p w:rsidR="00000000" w:rsidDel="00000000" w:rsidP="00000000" w:rsidRDefault="00000000" w:rsidRPr="00000000" w14:paraId="0000000C">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BLINK’s Current Stage of Business Growth</w:t>
      </w:r>
    </w:p>
    <w:p w:rsidR="00000000" w:rsidDel="00000000" w:rsidP="00000000" w:rsidRDefault="00000000" w:rsidRPr="00000000" w14:paraId="00000013">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business environment is quite dynamic and it is only organizations that are strategic and tactful that not only exhibit immense growth but also expands globally and become profitable for the foreseeable future. In this regard, organizations that are keen on success are usually inclined to develop unique products that meet and address particular needs, tastes and preferences in society. Based on the facts shared on the case study, BLINK is one notable company that since its establishment 20 years ago produced realistic prosthetic eyes for individuals with optical physical disabilities in New Zealand and Australia. BLINK is a market leader in the region and has amassed significant cash reserves and assets that have made the company pioneers in Suli and Olga consider expansion into other areas including Japan. </w:t>
      </w:r>
    </w:p>
    <w:p w:rsidR="00000000" w:rsidDel="00000000" w:rsidP="00000000" w:rsidRDefault="00000000" w:rsidRPr="00000000" w14:paraId="00000014">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Businesses such as BLINK that are run effectively and have clear goals and objectives usually go through 5 distinct stages of growth. These include existence, survival, success, take off and resource maturity </w:t>
      </w:r>
      <w:r w:rsidDel="00000000" w:rsidR="00000000" w:rsidRPr="00000000">
        <w:rPr>
          <w:rFonts w:ascii="Times New Roman" w:cs="Times New Roman" w:eastAsia="Times New Roman" w:hAnsi="Times New Roman"/>
          <w:sz w:val="24"/>
          <w:szCs w:val="24"/>
          <w:highlight w:val="white"/>
          <w:rtl w:val="0"/>
        </w:rPr>
        <w:t xml:space="preserve">(Lewis &amp; Churchill, 1983)</w:t>
      </w:r>
      <w:r w:rsidDel="00000000" w:rsidR="00000000" w:rsidRPr="00000000">
        <w:rPr>
          <w:rFonts w:ascii="Times New Roman" w:cs="Times New Roman" w:eastAsia="Times New Roman" w:hAnsi="Times New Roman"/>
          <w:sz w:val="24"/>
          <w:szCs w:val="24"/>
          <w:rtl w:val="0"/>
        </w:rPr>
        <w:t xml:space="preserve">. BLINK has just passed the second stage of survival since it has evidently established a workable business entity in New Zealand and Australia. It has built its brand in the area and has acquired a significant portion of the market share. As such, the company is currently at the success stage of business growth. One enterprise related factor that points in that direction stems from BLINK’s system resources </w:t>
      </w:r>
      <w:r w:rsidDel="00000000" w:rsidR="00000000" w:rsidRPr="00000000">
        <w:rPr>
          <w:rFonts w:ascii="Times New Roman" w:cs="Times New Roman" w:eastAsia="Times New Roman" w:hAnsi="Times New Roman"/>
          <w:sz w:val="24"/>
          <w:szCs w:val="24"/>
          <w:highlight w:val="white"/>
          <w:rtl w:val="0"/>
        </w:rPr>
        <w:t xml:space="preserve">(Lewis &amp; Churchill, 1983)</w:t>
      </w:r>
      <w:r w:rsidDel="00000000" w:rsidR="00000000" w:rsidRPr="00000000">
        <w:rPr>
          <w:rFonts w:ascii="Times New Roman" w:cs="Times New Roman" w:eastAsia="Times New Roman" w:hAnsi="Times New Roman"/>
          <w:sz w:val="24"/>
          <w:szCs w:val="24"/>
          <w:rtl w:val="0"/>
        </w:rPr>
        <w:t xml:space="preserve">. Market research has identified that the organization is way above other players in the industry involved in the manufacture and production of prosthetic eyes. The research has also shown that there is no other company globally that have incorporated in-built technology in their prosthetic eyes that not only scans but also customizes them to one’s optical requirements. In the current competitive business environment it is only businesses that are at the fore front of embracing technological advancements and incorporating them in their models that succeed. </w:t>
      </w:r>
    </w:p>
    <w:p w:rsidR="00000000" w:rsidDel="00000000" w:rsidP="00000000" w:rsidRDefault="00000000" w:rsidRPr="00000000" w14:paraId="00000015">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the facts shared on the case study, the firm is currently at the two sub-stages of success. To begin with, it can be seen that it is at the success disengagement stage because it has attained market penetration in New Zealand and Australia. It is also profitable and economically-healthy. Secondly, BLINK is also at the success-growth because the owners are willing to take risk by exploiting the firm’s achievements in the local markets to venture into other regions. Additionally, one ownership factor that indicates that BLINK is at the success stage of business growth relates to the operational abilities of the owners </w:t>
      </w:r>
      <w:r w:rsidDel="00000000" w:rsidR="00000000" w:rsidRPr="00000000">
        <w:rPr>
          <w:rFonts w:ascii="Times New Roman" w:cs="Times New Roman" w:eastAsia="Times New Roman" w:hAnsi="Times New Roman"/>
          <w:sz w:val="24"/>
          <w:szCs w:val="24"/>
          <w:highlight w:val="white"/>
          <w:rtl w:val="0"/>
        </w:rPr>
        <w:t xml:space="preserve">(Lewis &amp; Churchill, 1983)</w:t>
      </w:r>
      <w:r w:rsidDel="00000000" w:rsidR="00000000" w:rsidRPr="00000000">
        <w:rPr>
          <w:rFonts w:ascii="Times New Roman" w:cs="Times New Roman" w:eastAsia="Times New Roman" w:hAnsi="Times New Roman"/>
          <w:sz w:val="24"/>
          <w:szCs w:val="24"/>
          <w:rtl w:val="0"/>
        </w:rPr>
        <w:t xml:space="preserve">. The facts in the case study shared that Suli and Olga have been heavily involved in overseeing duties such as sales and marketing. Successful companies are those that have owners or leaders at the helm who are not afraid of folding their sleeves and getting their hands dirty. Similarly, it was also highlighted that the pioneers of the company have been grooming their employees to follow in their footsteps which shows that they are not afraid of delegating duties. Delegation is vital to the growth and expansion of an organization. </w:t>
      </w:r>
    </w:p>
    <w:p w:rsidR="00000000" w:rsidDel="00000000" w:rsidP="00000000" w:rsidRDefault="00000000" w:rsidRPr="00000000" w14:paraId="00000016">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BLINK’s Market Entry Strategy to Japan</w:t>
      </w:r>
    </w:p>
    <w:p w:rsidR="00000000" w:rsidDel="00000000" w:rsidP="00000000" w:rsidRDefault="00000000" w:rsidRPr="00000000" w14:paraId="00000017">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Business growth and expansion into foreign territories can be quite risky. There are many organizations that have failed to conduct effective market research before entry that have failed miserably and incurred massive losses in the process. As such, it is vital that BLINK clearly weighs in on the best market entry strategy to embrace in light of the plans of venturing into Japan. There are several market entry strategies in this regard including direct exporting, franchising, joint ventures, Greenfield investments and licensing among others. Based on the facts shared on the case study, the best market entry strategy that BLINK should employ is joint venture because of the following reasons. BLINK can seek to partners with a local optical shop in Japan that has established itself and has acquired quite a significant portion of the market share.</w:t>
      </w:r>
    </w:p>
    <w:p w:rsidR="00000000" w:rsidDel="00000000" w:rsidP="00000000" w:rsidRDefault="00000000" w:rsidRPr="00000000" w14:paraId="00000018">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reason is that through a joint venture, BLINK will get the opportunity to understand the needs, tastes and preferences of the Japanese customers since consumer behavior tends to differ based on location </w:t>
      </w:r>
      <w:r w:rsidDel="00000000" w:rsidR="00000000" w:rsidRPr="00000000">
        <w:rPr>
          <w:rFonts w:ascii="Times New Roman" w:cs="Times New Roman" w:eastAsia="Times New Roman" w:hAnsi="Times New Roman"/>
          <w:sz w:val="24"/>
          <w:szCs w:val="24"/>
          <w:highlight w:val="white"/>
          <w:rtl w:val="0"/>
        </w:rPr>
        <w:t xml:space="preserve">(Mantecon et al., 2015)</w:t>
      </w:r>
      <w:r w:rsidDel="00000000" w:rsidR="00000000" w:rsidRPr="00000000">
        <w:rPr>
          <w:rFonts w:ascii="Times New Roman" w:cs="Times New Roman" w:eastAsia="Times New Roman" w:hAnsi="Times New Roman"/>
          <w:sz w:val="24"/>
          <w:szCs w:val="24"/>
          <w:rtl w:val="0"/>
        </w:rPr>
        <w:t xml:space="preserve">. Secondly, the strategy will provide BLINK with access to the customer base of the local partner. As such, the company will cut costs pertaining to marketing and advertising. Thirdly, BLINK will benefit not only by joining forces in research and development but also purchasing. Fourthly, joint venture allows partnering companies to share in the profits and losses </w:t>
      </w:r>
      <w:r w:rsidDel="00000000" w:rsidR="00000000" w:rsidRPr="00000000">
        <w:rPr>
          <w:rFonts w:ascii="Times New Roman" w:cs="Times New Roman" w:eastAsia="Times New Roman" w:hAnsi="Times New Roman"/>
          <w:sz w:val="24"/>
          <w:szCs w:val="24"/>
          <w:highlight w:val="white"/>
          <w:rtl w:val="0"/>
        </w:rPr>
        <w:t xml:space="preserve">(Mantecon et al., 2015)</w:t>
      </w:r>
      <w:r w:rsidDel="00000000" w:rsidR="00000000" w:rsidRPr="00000000">
        <w:rPr>
          <w:rFonts w:ascii="Times New Roman" w:cs="Times New Roman" w:eastAsia="Times New Roman" w:hAnsi="Times New Roman"/>
          <w:sz w:val="24"/>
          <w:szCs w:val="24"/>
          <w:rtl w:val="0"/>
        </w:rPr>
        <w:t xml:space="preserve">. Therefore, BLINK will cushion itself in some way in the instance its venture into Japan fails to materialize as expected. Nonetheless, it is vital that caution is taken to ensure that the local partner chosen in the joint ventures shares in BLINK’s vision and objectives.</w:t>
      </w:r>
    </w:p>
    <w:p w:rsidR="00000000" w:rsidDel="00000000" w:rsidP="00000000" w:rsidRDefault="00000000" w:rsidRPr="00000000" w14:paraId="00000019">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2">
      <w:pPr>
        <w:spacing w:line="480" w:lineRule="auto"/>
        <w:ind w:left="720" w:hanging="720"/>
        <w:jc w:val="both"/>
        <w:rPr>
          <w:rFonts w:ascii="Times New Roman" w:cs="Times New Roman" w:eastAsia="Times New Roman" w:hAnsi="Times New Roman"/>
          <w:sz w:val="24"/>
          <w:szCs w:val="24"/>
          <w:highlight w:val="white"/>
        </w:rPr>
      </w:pPr>
      <w:bookmarkStart w:colFirst="0" w:colLast="0" w:name="_gjdgxs" w:id="0"/>
      <w:bookmarkEnd w:id="0"/>
      <w:r w:rsidDel="00000000" w:rsidR="00000000" w:rsidRPr="00000000">
        <w:rPr>
          <w:rFonts w:ascii="Times New Roman" w:cs="Times New Roman" w:eastAsia="Times New Roman" w:hAnsi="Times New Roman"/>
          <w:sz w:val="24"/>
          <w:szCs w:val="24"/>
          <w:highlight w:val="white"/>
          <w:rtl w:val="0"/>
        </w:rPr>
        <w:t xml:space="preserve">Lewis, V., &amp; Churchill, N. (1983). Five stages of growth in small business. </w:t>
      </w:r>
      <w:r w:rsidDel="00000000" w:rsidR="00000000" w:rsidRPr="00000000">
        <w:rPr>
          <w:rFonts w:ascii="Times New Roman" w:cs="Times New Roman" w:eastAsia="Times New Roman" w:hAnsi="Times New Roman"/>
          <w:i w:val="1"/>
          <w:sz w:val="24"/>
          <w:szCs w:val="24"/>
          <w:highlight w:val="white"/>
          <w:rtl w:val="0"/>
        </w:rPr>
        <w:t xml:space="preserve">Harvard Business Review</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61</w:t>
      </w:r>
      <w:r w:rsidDel="00000000" w:rsidR="00000000" w:rsidRPr="00000000">
        <w:rPr>
          <w:rFonts w:ascii="Times New Roman" w:cs="Times New Roman" w:eastAsia="Times New Roman" w:hAnsi="Times New Roman"/>
          <w:sz w:val="24"/>
          <w:szCs w:val="24"/>
          <w:highlight w:val="white"/>
          <w:rtl w:val="0"/>
        </w:rPr>
        <w:t xml:space="preserve">(3), 30-50. </w:t>
      </w:r>
      <w:hyperlink r:id="rId6">
        <w:r w:rsidDel="00000000" w:rsidR="00000000" w:rsidRPr="00000000">
          <w:rPr>
            <w:rFonts w:ascii="Times New Roman" w:cs="Times New Roman" w:eastAsia="Times New Roman" w:hAnsi="Times New Roman"/>
            <w:color w:val="000000"/>
            <w:sz w:val="24"/>
            <w:szCs w:val="24"/>
            <w:highlight w:val="white"/>
            <w:u w:val="single"/>
            <w:rtl w:val="0"/>
          </w:rPr>
          <w:t xml:space="preserve">https://doi.org/10.1016/0024-6301(87)90071-9</w:t>
        </w:r>
      </w:hyperlink>
      <w:r w:rsidDel="00000000" w:rsidR="00000000" w:rsidRPr="00000000">
        <w:rPr>
          <w:rtl w:val="0"/>
        </w:rPr>
      </w:r>
    </w:p>
    <w:p w:rsidR="00000000" w:rsidDel="00000000" w:rsidP="00000000" w:rsidRDefault="00000000" w:rsidRPr="00000000" w14:paraId="00000023">
      <w:pPr>
        <w:spacing w:line="480" w:lineRule="auto"/>
        <w:ind w:left="72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Mantecon, T., Song, K., &amp; Luo, H. (2015). The Control and Performance of Joint Ventures. </w:t>
      </w:r>
      <w:r w:rsidDel="00000000" w:rsidR="00000000" w:rsidRPr="00000000">
        <w:rPr>
          <w:rFonts w:ascii="Times New Roman" w:cs="Times New Roman" w:eastAsia="Times New Roman" w:hAnsi="Times New Roman"/>
          <w:i w:val="1"/>
          <w:sz w:val="24"/>
          <w:szCs w:val="24"/>
          <w:highlight w:val="white"/>
          <w:rtl w:val="0"/>
        </w:rPr>
        <w:t xml:space="preserve">Financial Management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45</w:t>
      </w:r>
      <w:r w:rsidDel="00000000" w:rsidR="00000000" w:rsidRPr="00000000">
        <w:rPr>
          <w:rFonts w:ascii="Times New Roman" w:cs="Times New Roman" w:eastAsia="Times New Roman" w:hAnsi="Times New Roman"/>
          <w:sz w:val="24"/>
          <w:szCs w:val="24"/>
          <w:highlight w:val="white"/>
          <w:rtl w:val="0"/>
        </w:rPr>
        <w:t xml:space="preserve">(2), 431-465. https://doi.org/10.1111/fima.12100</w:t>
      </w:r>
      <w:r w:rsidDel="00000000" w:rsidR="00000000" w:rsidRPr="00000000">
        <w:rPr>
          <w:rFonts w:ascii="Times New Roman" w:cs="Times New Roman" w:eastAsia="Times New Roman" w:hAnsi="Times New Roman"/>
          <w:sz w:val="24"/>
          <w:szCs w:val="24"/>
          <w:rtl w:val="0"/>
        </w:rPr>
        <w:t xml:space="preserve"> </w:t>
      </w:r>
    </w:p>
    <w:sectPr>
      <w:headerReference r:id="rId7" w:type="default"/>
      <w:headerReference r:id="rId8"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BLINK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BLINK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i.org/10.1016/0024-6301(87)90071-9" TargetMode="Externa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