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E8E" w:rsidRDefault="00D96E8E" w:rsidP="00D96E8E">
      <w:pPr>
        <w:spacing w:after="0" w:line="480" w:lineRule="auto"/>
        <w:jc w:val="center"/>
        <w:rPr>
          <w:rFonts w:ascii="Times New Roman" w:hAnsi="Times New Roman" w:cs="Times New Roman"/>
          <w:sz w:val="24"/>
        </w:rPr>
      </w:pPr>
      <w:bookmarkStart w:id="0" w:name="_GoBack"/>
      <w:bookmarkEnd w:id="0"/>
    </w:p>
    <w:p w:rsidR="00D96E8E" w:rsidRDefault="00D96E8E" w:rsidP="00D96E8E">
      <w:pPr>
        <w:spacing w:after="0" w:line="480" w:lineRule="auto"/>
        <w:jc w:val="center"/>
        <w:rPr>
          <w:rFonts w:ascii="Times New Roman" w:hAnsi="Times New Roman" w:cs="Times New Roman"/>
          <w:sz w:val="24"/>
        </w:rPr>
      </w:pPr>
    </w:p>
    <w:p w:rsidR="00D96E8E" w:rsidRDefault="00D96E8E" w:rsidP="00D96E8E">
      <w:pPr>
        <w:spacing w:after="0" w:line="480" w:lineRule="auto"/>
        <w:jc w:val="center"/>
        <w:rPr>
          <w:rFonts w:ascii="Times New Roman" w:hAnsi="Times New Roman" w:cs="Times New Roman"/>
          <w:sz w:val="24"/>
        </w:rPr>
      </w:pPr>
    </w:p>
    <w:p w:rsidR="00D96E8E" w:rsidRDefault="00D96E8E" w:rsidP="00D96E8E">
      <w:pPr>
        <w:spacing w:after="0" w:line="480" w:lineRule="auto"/>
        <w:jc w:val="center"/>
        <w:rPr>
          <w:rFonts w:ascii="Times New Roman" w:hAnsi="Times New Roman" w:cs="Times New Roman"/>
          <w:sz w:val="24"/>
        </w:rPr>
      </w:pPr>
    </w:p>
    <w:p w:rsidR="00D96E8E" w:rsidRDefault="00D96E8E" w:rsidP="00D96E8E">
      <w:pPr>
        <w:spacing w:after="0" w:line="480" w:lineRule="auto"/>
        <w:jc w:val="center"/>
        <w:rPr>
          <w:rFonts w:ascii="Times New Roman" w:hAnsi="Times New Roman" w:cs="Times New Roman"/>
          <w:sz w:val="24"/>
        </w:rPr>
      </w:pPr>
    </w:p>
    <w:p w:rsidR="00D96E8E" w:rsidRDefault="00D96E8E" w:rsidP="00D96E8E">
      <w:pPr>
        <w:spacing w:after="0" w:line="480" w:lineRule="auto"/>
        <w:jc w:val="center"/>
        <w:rPr>
          <w:rFonts w:ascii="Times New Roman" w:hAnsi="Times New Roman" w:cs="Times New Roman"/>
          <w:sz w:val="24"/>
        </w:rPr>
      </w:pPr>
    </w:p>
    <w:p w:rsidR="00D96E8E" w:rsidRDefault="00D96E8E" w:rsidP="00D96E8E">
      <w:pPr>
        <w:spacing w:after="0" w:line="480" w:lineRule="auto"/>
        <w:jc w:val="center"/>
        <w:rPr>
          <w:rFonts w:ascii="Times New Roman" w:hAnsi="Times New Roman" w:cs="Times New Roman"/>
          <w:sz w:val="24"/>
        </w:rPr>
      </w:pPr>
    </w:p>
    <w:p w:rsidR="00D96E8E" w:rsidRDefault="00D96E8E" w:rsidP="00D96E8E">
      <w:pPr>
        <w:spacing w:after="0" w:line="480" w:lineRule="auto"/>
        <w:jc w:val="center"/>
        <w:rPr>
          <w:rFonts w:ascii="Times New Roman" w:hAnsi="Times New Roman" w:cs="Times New Roman"/>
          <w:sz w:val="24"/>
        </w:rPr>
      </w:pPr>
    </w:p>
    <w:p w:rsidR="00D96E8E" w:rsidRDefault="00D96E8E" w:rsidP="00D96E8E">
      <w:pPr>
        <w:spacing w:after="0" w:line="480" w:lineRule="auto"/>
        <w:jc w:val="center"/>
        <w:rPr>
          <w:rFonts w:ascii="Times New Roman" w:hAnsi="Times New Roman" w:cs="Times New Roman"/>
          <w:sz w:val="24"/>
        </w:rPr>
      </w:pPr>
    </w:p>
    <w:p w:rsidR="00D96E8E" w:rsidRPr="00D96E8E" w:rsidRDefault="00D96E8E" w:rsidP="00D96E8E">
      <w:pPr>
        <w:spacing w:after="0" w:line="480" w:lineRule="auto"/>
        <w:jc w:val="center"/>
        <w:rPr>
          <w:rFonts w:ascii="Times New Roman" w:hAnsi="Times New Roman" w:cs="Times New Roman"/>
          <w:sz w:val="24"/>
        </w:rPr>
      </w:pPr>
      <w:r w:rsidRPr="00D96E8E">
        <w:rPr>
          <w:rFonts w:ascii="Times New Roman" w:hAnsi="Times New Roman" w:cs="Times New Roman"/>
          <w:sz w:val="24"/>
        </w:rPr>
        <w:t>Business Laws</w:t>
      </w:r>
    </w:p>
    <w:p w:rsidR="00D96E8E" w:rsidRPr="00D96E8E" w:rsidRDefault="00D96E8E" w:rsidP="00D96E8E">
      <w:pPr>
        <w:spacing w:after="0" w:line="480" w:lineRule="auto"/>
        <w:jc w:val="center"/>
        <w:rPr>
          <w:rFonts w:ascii="Times New Roman" w:hAnsi="Times New Roman" w:cs="Times New Roman"/>
          <w:sz w:val="24"/>
        </w:rPr>
      </w:pPr>
      <w:r w:rsidRPr="00D96E8E">
        <w:rPr>
          <w:rFonts w:ascii="Times New Roman" w:hAnsi="Times New Roman" w:cs="Times New Roman"/>
          <w:sz w:val="24"/>
        </w:rPr>
        <w:t>Student’s Name</w:t>
      </w:r>
    </w:p>
    <w:p w:rsidR="00D96E8E" w:rsidRPr="00D96E8E" w:rsidRDefault="00D96E8E" w:rsidP="00D96E8E">
      <w:pPr>
        <w:spacing w:after="0" w:line="480" w:lineRule="auto"/>
        <w:jc w:val="center"/>
        <w:rPr>
          <w:rFonts w:ascii="Times New Roman" w:hAnsi="Times New Roman" w:cs="Times New Roman"/>
          <w:sz w:val="24"/>
        </w:rPr>
      </w:pPr>
      <w:r w:rsidRPr="00D96E8E">
        <w:rPr>
          <w:rFonts w:ascii="Times New Roman" w:hAnsi="Times New Roman" w:cs="Times New Roman"/>
          <w:sz w:val="24"/>
        </w:rPr>
        <w:t>Institution Affiliation</w:t>
      </w:r>
    </w:p>
    <w:p w:rsidR="00D96E8E" w:rsidRPr="00D96E8E" w:rsidRDefault="00D96E8E" w:rsidP="00D96E8E">
      <w:pPr>
        <w:spacing w:after="0" w:line="480" w:lineRule="auto"/>
        <w:jc w:val="center"/>
        <w:rPr>
          <w:rFonts w:ascii="Times New Roman" w:hAnsi="Times New Roman" w:cs="Times New Roman"/>
          <w:sz w:val="24"/>
        </w:rPr>
      </w:pPr>
      <w:r w:rsidRPr="00D96E8E">
        <w:rPr>
          <w:rFonts w:ascii="Times New Roman" w:hAnsi="Times New Roman" w:cs="Times New Roman"/>
          <w:sz w:val="24"/>
        </w:rPr>
        <w:t>Date Of Submission</w:t>
      </w: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Default="00D96E8E" w:rsidP="00D96E8E">
      <w:pPr>
        <w:spacing w:after="0" w:line="480" w:lineRule="auto"/>
        <w:jc w:val="center"/>
        <w:rPr>
          <w:rFonts w:ascii="Times New Roman" w:hAnsi="Times New Roman" w:cs="Times New Roman"/>
          <w:b/>
          <w:sz w:val="24"/>
        </w:rPr>
      </w:pPr>
    </w:p>
    <w:p w:rsidR="00D96E8E" w:rsidRPr="00D96E8E" w:rsidRDefault="00D96E8E" w:rsidP="00D96E8E">
      <w:pPr>
        <w:spacing w:after="0" w:line="480" w:lineRule="auto"/>
        <w:jc w:val="center"/>
        <w:rPr>
          <w:rFonts w:ascii="Times New Roman" w:hAnsi="Times New Roman" w:cs="Times New Roman"/>
          <w:b/>
          <w:sz w:val="24"/>
        </w:rPr>
      </w:pPr>
      <w:r w:rsidRPr="00D96E8E">
        <w:rPr>
          <w:rFonts w:ascii="Times New Roman" w:hAnsi="Times New Roman" w:cs="Times New Roman"/>
          <w:b/>
          <w:sz w:val="24"/>
        </w:rPr>
        <w:lastRenderedPageBreak/>
        <w:t>Business Laws</w:t>
      </w:r>
    </w:p>
    <w:p w:rsidR="00D96E8E" w:rsidRPr="00D96E8E" w:rsidRDefault="00D96E8E" w:rsidP="00D96E8E">
      <w:pPr>
        <w:spacing w:after="0" w:line="480" w:lineRule="auto"/>
        <w:rPr>
          <w:rFonts w:ascii="Times New Roman" w:hAnsi="Times New Roman" w:cs="Times New Roman"/>
          <w:b/>
          <w:sz w:val="24"/>
        </w:rPr>
      </w:pPr>
      <w:r w:rsidRPr="00D96E8E">
        <w:rPr>
          <w:rFonts w:ascii="Times New Roman" w:hAnsi="Times New Roman" w:cs="Times New Roman"/>
          <w:b/>
          <w:sz w:val="24"/>
        </w:rPr>
        <w:t>Company Goal</w:t>
      </w:r>
    </w:p>
    <w:p w:rsidR="00D96E8E"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 xml:space="preserve">Business Laws protect the exploitation of consumers by business organizations and ensure that they get value for their money in terms of the quality and quantity of products and services they receive. In a typical unregulated business environment, there may be some parties that may engage in illegal activities to ensure that they get the maximum profits. Consumers may not be explicitly aware of the threats they face while conducting business, and this is the main reason why governments establish laws that ensure the business environment is controlled and sustainable over some time. Threats or exploitation in the market affects the consumers and other producers that may want to enter into the market; commonly known as competitors. Established companies that have a considerable market share and capital base may conspire to ensure that they lock competitors out, and in the end, the consumers bear the brunt. In America, there are a set of laws that guard against price-fixing, creation of monopolies, price-fixing, bid-rigging, and dictate the procedures of creating mergers and acquisitions. </w:t>
      </w:r>
    </w:p>
    <w:p w:rsidR="00D96E8E"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 xml:space="preserve">The laws agree that interests may vary depending on the mission and anticipated market size of a specific company, but there must be guidelines to ensure a level playing field. Some of the laws that advocate against the named malpractices in business are the Sherman antitrust, the Clayton Act and the federal trade commission act. Each of these acts has the specific business domains that they cover, but in general, they complement each other. A combination of these laws is what was termed as antitrust laws. All American based companies that seek expand to international territories must be aware of the laws because ignorance does not reduce liability. </w:t>
      </w:r>
      <w:r>
        <w:rPr>
          <w:rFonts w:ascii="Times New Roman" w:hAnsi="Times New Roman" w:cs="Times New Roman"/>
          <w:sz w:val="24"/>
        </w:rPr>
        <w:tab/>
      </w:r>
      <w:r w:rsidRPr="00D96E8E">
        <w:rPr>
          <w:rFonts w:ascii="Times New Roman" w:hAnsi="Times New Roman" w:cs="Times New Roman"/>
          <w:sz w:val="24"/>
        </w:rPr>
        <w:t xml:space="preserve">The Sherman antitrust law was created in 1890 to ensure that business does not conspire to form monopolies to control the consumption patterns of the consumers. Large corporations are fined up to $100 million while individual businesspeople get fines of $1 million depending on the extent of breaching the law. In 2013 Apple was fined $450 million for fixing prices of ebooks and this ruling set stage for many other cases touching on the breach of the Sherman antitrust laws. The federal trade commission act prohibits interstate or international companies from engaging in market sharing, a venture that ensures high entry barriers for the competitors. The Clayton details the process explicitly that mergers and organizations acquisitions can be legalized and moderated to reduce the likelihood of market manipulation and consumer exploitation. </w:t>
      </w:r>
    </w:p>
    <w:p w:rsidR="00D96E8E" w:rsidRPr="00D96E8E" w:rsidRDefault="00D96E8E" w:rsidP="00D96E8E">
      <w:pPr>
        <w:spacing w:after="0" w:line="480" w:lineRule="auto"/>
        <w:rPr>
          <w:rFonts w:ascii="Times New Roman" w:hAnsi="Times New Roman" w:cs="Times New Roman"/>
          <w:b/>
          <w:sz w:val="24"/>
        </w:rPr>
      </w:pPr>
      <w:r>
        <w:rPr>
          <w:rFonts w:ascii="Times New Roman" w:hAnsi="Times New Roman" w:cs="Times New Roman"/>
          <w:b/>
          <w:sz w:val="24"/>
        </w:rPr>
        <w:t xml:space="preserve">Legal </w:t>
      </w:r>
      <w:r>
        <w:rPr>
          <w:rFonts w:ascii="Times New Roman" w:hAnsi="Times New Roman" w:cs="Times New Roman"/>
          <w:b/>
          <w:sz w:val="24"/>
        </w:rPr>
        <w:tab/>
        <w:t>I</w:t>
      </w:r>
      <w:r w:rsidRPr="00D96E8E">
        <w:rPr>
          <w:rFonts w:ascii="Times New Roman" w:hAnsi="Times New Roman" w:cs="Times New Roman"/>
          <w:b/>
          <w:sz w:val="24"/>
        </w:rPr>
        <w:t>mplications</w:t>
      </w:r>
    </w:p>
    <w:p w:rsidR="00D96E8E"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 xml:space="preserve">Expanding the production base or market space of a company to other countries is one of the most complicated endeavours because there are multiple ethical, social, economic and political considerations. The parent country of a company may have completely different policies that govern the market space of its jurisdiction, and in the case, the company cannot apply the original policies. However, American companies that target Mexico as a production base or market face lesser challenges because of the semblance of some business laws and policies. The only things that may differ are the business dynamics like forms of marketing and customer relationships. </w:t>
      </w:r>
    </w:p>
    <w:p w:rsidR="00D96E8E"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 xml:space="preserve">Some of the advantages that an American based company can have in Mexico are reduced labour costs. Due to the rates of unemployment and overcrowding in the job market, Mexico offers a large pool of people that can employ at slightly lower prices than American citizens. This factor helps lower the production cost and increases the chances of the company attaining higher profits and becoming sustainable (Mitchell, 2016). . The political factor cannot be ignored in this factor because it has a direct bearing on how business can be conducted. Companies may seem to distance themselves from politics so as not to look like they biased in terms of the target market but relationships between countries; diplomatic ties is either an advantage or a disadvantage to the business. In this case, Mexico has a good political relationship with America; hence, the American based company has the ease of doing business. Apart from the politics of building the American-Mexico wall, the two countries share multiple business systems, and these can work towards ensuring the company thrives in Mexico (Abogandos, 2015). Compared to Asian countries that have different business policies and practices, the production and market guidelines are almost similar in Mexico; hence, the company has a higher probability of succeeding. Mexico's market is relatively free; thus, there are less market entry barriers. Most companies operate individually, and there are many product differentiation deficits. This space is one that can get filled with the American based company, and this will help it determine its niche. </w:t>
      </w:r>
    </w:p>
    <w:p w:rsidR="00D96E8E"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A disadvantage of venturing to expand into international territory is the likelihood of the company losing its trademark due to duplication. Trademark rights are different from intellectual property rights, and they vary among countries. Mexico and America are countries that unveil these difference; hence, the American based company may lack legality of operation if it is discovered that a company bearing the same trademark exists in Mexico.  Just the American government system, Mexico has its own set of local governments that have policies to complement the laws of the national government. On a timely basis, or when the need arises, the laws are prone to change, and this makes the business environment uncomfortable (Morabito, 2016). Apart from the taxes, other prescriptions that may change in the Mexican law may include the number of locals that can use labour force in a country and the environmental considerations. Before a company decides on its expansion plan to other countries, researches must be done to ensure that all the dynamics are factored in the equation. Most of the time, this research is primarily based on available reviews. In some cases, the studies may be outdated, inaccurate or biased, and this may negatively impact the expansion plan of a company.</w:t>
      </w:r>
    </w:p>
    <w:p w:rsidR="00D96E8E" w:rsidRPr="00D96E8E" w:rsidRDefault="00D96E8E" w:rsidP="00D96E8E">
      <w:pPr>
        <w:spacing w:after="0" w:line="480" w:lineRule="auto"/>
        <w:rPr>
          <w:rFonts w:ascii="Times New Roman" w:hAnsi="Times New Roman" w:cs="Times New Roman"/>
          <w:b/>
          <w:sz w:val="24"/>
        </w:rPr>
      </w:pPr>
      <w:r>
        <w:rPr>
          <w:rFonts w:ascii="Times New Roman" w:hAnsi="Times New Roman" w:cs="Times New Roman"/>
          <w:b/>
          <w:sz w:val="24"/>
        </w:rPr>
        <w:t>Ethical C</w:t>
      </w:r>
      <w:r w:rsidRPr="00D96E8E">
        <w:rPr>
          <w:rFonts w:ascii="Times New Roman" w:hAnsi="Times New Roman" w:cs="Times New Roman"/>
          <w:b/>
          <w:sz w:val="24"/>
        </w:rPr>
        <w:t>onsiderations</w:t>
      </w:r>
    </w:p>
    <w:p w:rsidR="00D96E8E"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 xml:space="preserve">One of the most critical components that determine the success rate of a company is the kind of relationship that the company has with locals in the new country. For customers to get attached to a brand; brand loyalty, they must be assured that the company is primarily present to carter for their needs. This principle dictates that the company should have a fund to service its corporate social responsibility regularly (Mitchell,2016). Apart from companies engaging in this venture as goodwill or using it for marketing purposes, the laws of the new country ay demand that all companies should set up a fund to finance the venture. Such policies or laws are detrimental because they may hinder the growth of a new company at its initial stage where there is an immense financial strain. </w:t>
      </w:r>
    </w:p>
    <w:p w:rsidR="00D96E8E"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 xml:space="preserve">The other lingering implication may be the type of labour required and the source of labour. Skillsets in America are highly developed than they are in America, and the company may find it irrational to hire a large percentage of its workforce from Mexico. Due to the complexity of operations, the company may opt to outsource American labour though the venture is expensive in the long run. The primary outcome to this case; its either the Mexicans feel that they have been neglected and they disassociate with the company (Kolk, 2016). On the other hand, if the company hires a large percent of locals, then the American population may have a negative perception that the company had neglected their expertise. Both scenarios present a problem, and the company has to make justifiable decisions. </w:t>
      </w:r>
    </w:p>
    <w:p w:rsidR="00D96E8E" w:rsidRPr="00D96E8E" w:rsidRDefault="00D96E8E" w:rsidP="00D96E8E">
      <w:pPr>
        <w:spacing w:after="0" w:line="480" w:lineRule="auto"/>
        <w:rPr>
          <w:rFonts w:ascii="Times New Roman" w:hAnsi="Times New Roman" w:cs="Times New Roman"/>
          <w:b/>
          <w:sz w:val="24"/>
        </w:rPr>
      </w:pPr>
      <w:r w:rsidRPr="00D96E8E">
        <w:rPr>
          <w:rFonts w:ascii="Times New Roman" w:hAnsi="Times New Roman" w:cs="Times New Roman"/>
          <w:b/>
          <w:sz w:val="24"/>
        </w:rPr>
        <w:t>Compliance to US Laws</w:t>
      </w:r>
    </w:p>
    <w:p w:rsidR="00163373" w:rsidRPr="00D96E8E" w:rsidRDefault="00D96E8E" w:rsidP="00D96E8E">
      <w:pPr>
        <w:spacing w:after="0" w:line="480" w:lineRule="auto"/>
        <w:rPr>
          <w:rFonts w:ascii="Times New Roman" w:hAnsi="Times New Roman" w:cs="Times New Roman"/>
          <w:sz w:val="24"/>
        </w:rPr>
      </w:pPr>
      <w:r>
        <w:rPr>
          <w:rFonts w:ascii="Times New Roman" w:hAnsi="Times New Roman" w:cs="Times New Roman"/>
          <w:sz w:val="24"/>
        </w:rPr>
        <w:tab/>
      </w:r>
      <w:r w:rsidRPr="00D96E8E">
        <w:rPr>
          <w:rFonts w:ascii="Times New Roman" w:hAnsi="Times New Roman" w:cs="Times New Roman"/>
          <w:sz w:val="24"/>
        </w:rPr>
        <w:t>American based companies that expand to foreign countries do not abandon the laws of their parent country because they lay the base of operations. All rules that lie within the premise of fair competition and consumer protection must be adhered to lest the company faces injunctions in America (Sherman, 2017). These laws ensure that their companies maintain the highest standards of conducting business and do not catalyze diplomatic rows. For any American company to operate in another country, it must have certification from the parent company to ensure that it is compliant and reassure compliance even after expansion. Olympus Corporation is certified to the AdvaMed code that ensures its compliance with the American laws and ethics (Olympus, 2018). In 2016 Olympus breached the federal trade commission act and was found guilty of committing business malpractices in Latin America. The matter was tried in an American court, and the company paid a fine of over $15 million to ensure that it upheld the American laws even in external operations.</w:t>
      </w: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Default="00D96E8E" w:rsidP="00D96E8E">
      <w:pPr>
        <w:spacing w:after="0" w:line="480" w:lineRule="auto"/>
        <w:rPr>
          <w:rFonts w:ascii="Times New Roman" w:hAnsi="Times New Roman" w:cs="Times New Roman"/>
          <w:sz w:val="24"/>
        </w:rPr>
      </w:pPr>
    </w:p>
    <w:p w:rsidR="00D96E8E" w:rsidRPr="00D96E8E" w:rsidRDefault="00D96E8E" w:rsidP="00D96E8E">
      <w:pPr>
        <w:spacing w:after="0" w:line="480" w:lineRule="auto"/>
        <w:jc w:val="center"/>
        <w:rPr>
          <w:rFonts w:ascii="Times New Roman" w:hAnsi="Times New Roman" w:cs="Times New Roman"/>
          <w:sz w:val="24"/>
        </w:rPr>
      </w:pPr>
      <w:r w:rsidRPr="00D96E8E">
        <w:rPr>
          <w:rFonts w:ascii="Times New Roman" w:hAnsi="Times New Roman" w:cs="Times New Roman"/>
          <w:sz w:val="24"/>
        </w:rPr>
        <w:t>References</w:t>
      </w:r>
    </w:p>
    <w:p w:rsidR="00D96E8E" w:rsidRPr="00D96E8E" w:rsidRDefault="00D96E8E" w:rsidP="00D96E8E">
      <w:pPr>
        <w:spacing w:after="0" w:line="480" w:lineRule="auto"/>
        <w:rPr>
          <w:rFonts w:ascii="Times New Roman" w:hAnsi="Times New Roman" w:cs="Times New Roman"/>
          <w:sz w:val="24"/>
        </w:rPr>
      </w:pPr>
      <w:r w:rsidRPr="00D96E8E">
        <w:rPr>
          <w:rFonts w:ascii="Times New Roman" w:hAnsi="Times New Roman" w:cs="Times New Roman"/>
          <w:sz w:val="24"/>
        </w:rPr>
        <w:t xml:space="preserve">Abogandos, R. (2015). Mexico, The Best Fit For The International Expansion Of U.S. </w:t>
      </w:r>
      <w:r>
        <w:rPr>
          <w:rFonts w:ascii="Times New Roman" w:hAnsi="Times New Roman" w:cs="Times New Roman"/>
          <w:sz w:val="24"/>
        </w:rPr>
        <w:tab/>
      </w:r>
      <w:r w:rsidRPr="00D96E8E">
        <w:rPr>
          <w:rFonts w:ascii="Times New Roman" w:hAnsi="Times New Roman" w:cs="Times New Roman"/>
          <w:sz w:val="24"/>
        </w:rPr>
        <w:t>Companies. Mondaq.</w:t>
      </w:r>
    </w:p>
    <w:p w:rsidR="00D96E8E" w:rsidRPr="00D96E8E" w:rsidRDefault="00D96E8E" w:rsidP="00D96E8E">
      <w:pPr>
        <w:spacing w:after="0" w:line="480" w:lineRule="auto"/>
        <w:rPr>
          <w:rFonts w:ascii="Times New Roman" w:hAnsi="Times New Roman" w:cs="Times New Roman"/>
          <w:sz w:val="24"/>
        </w:rPr>
      </w:pPr>
      <w:r w:rsidRPr="00D96E8E">
        <w:rPr>
          <w:rFonts w:ascii="Times New Roman" w:hAnsi="Times New Roman" w:cs="Times New Roman"/>
          <w:sz w:val="24"/>
        </w:rPr>
        <w:t xml:space="preserve">Kolk, A. (2016). The social responsibility of international business: From ethics and the </w:t>
      </w:r>
      <w:r>
        <w:rPr>
          <w:rFonts w:ascii="Times New Roman" w:hAnsi="Times New Roman" w:cs="Times New Roman"/>
          <w:sz w:val="24"/>
        </w:rPr>
        <w:tab/>
      </w:r>
      <w:r w:rsidRPr="00D96E8E">
        <w:rPr>
          <w:rFonts w:ascii="Times New Roman" w:hAnsi="Times New Roman" w:cs="Times New Roman"/>
          <w:sz w:val="24"/>
        </w:rPr>
        <w:t>environment to CSR and sustainable development. Journal of World Business, 51(1), 23-</w:t>
      </w:r>
      <w:r>
        <w:rPr>
          <w:rFonts w:ascii="Times New Roman" w:hAnsi="Times New Roman" w:cs="Times New Roman"/>
          <w:sz w:val="24"/>
        </w:rPr>
        <w:tab/>
      </w:r>
      <w:r w:rsidRPr="00D96E8E">
        <w:rPr>
          <w:rFonts w:ascii="Times New Roman" w:hAnsi="Times New Roman" w:cs="Times New Roman"/>
          <w:sz w:val="24"/>
        </w:rPr>
        <w:t>34.</w:t>
      </w:r>
    </w:p>
    <w:p w:rsidR="00D96E8E" w:rsidRPr="00D96E8E" w:rsidRDefault="00D96E8E" w:rsidP="00D96E8E">
      <w:pPr>
        <w:spacing w:after="0" w:line="480" w:lineRule="auto"/>
        <w:rPr>
          <w:rFonts w:ascii="Times New Roman" w:hAnsi="Times New Roman" w:cs="Times New Roman"/>
          <w:sz w:val="24"/>
        </w:rPr>
      </w:pPr>
      <w:r w:rsidRPr="00D96E8E">
        <w:rPr>
          <w:rFonts w:ascii="Times New Roman" w:hAnsi="Times New Roman" w:cs="Times New Roman"/>
          <w:sz w:val="24"/>
        </w:rPr>
        <w:t xml:space="preserve">Mitchell, S. (2016). The View from the Shop—Antitrust and the Decline of America’s </w:t>
      </w:r>
      <w:r>
        <w:rPr>
          <w:rFonts w:ascii="Times New Roman" w:hAnsi="Times New Roman" w:cs="Times New Roman"/>
          <w:sz w:val="24"/>
        </w:rPr>
        <w:tab/>
      </w:r>
      <w:r w:rsidRPr="00D96E8E">
        <w:rPr>
          <w:rFonts w:ascii="Times New Roman" w:hAnsi="Times New Roman" w:cs="Times New Roman"/>
          <w:sz w:val="24"/>
        </w:rPr>
        <w:t>Independent Businesses. The Antitrust Bulletin, 61(4), 498-516.</w:t>
      </w:r>
    </w:p>
    <w:p w:rsidR="00D96E8E" w:rsidRPr="00D96E8E" w:rsidRDefault="00D96E8E" w:rsidP="00D96E8E">
      <w:pPr>
        <w:spacing w:after="0" w:line="480" w:lineRule="auto"/>
        <w:rPr>
          <w:rFonts w:ascii="Times New Roman" w:hAnsi="Times New Roman" w:cs="Times New Roman"/>
          <w:sz w:val="24"/>
        </w:rPr>
      </w:pPr>
      <w:r w:rsidRPr="00D96E8E">
        <w:rPr>
          <w:rFonts w:ascii="Times New Roman" w:hAnsi="Times New Roman" w:cs="Times New Roman"/>
          <w:sz w:val="24"/>
        </w:rPr>
        <w:t xml:space="preserve">Morabito, J. (2016). International Business Law 101: 5 International Business and Trade Law. </w:t>
      </w:r>
      <w:r>
        <w:rPr>
          <w:rFonts w:ascii="Times New Roman" w:hAnsi="Times New Roman" w:cs="Times New Roman"/>
          <w:sz w:val="24"/>
        </w:rPr>
        <w:tab/>
      </w:r>
      <w:r w:rsidRPr="00D96E8E">
        <w:rPr>
          <w:rFonts w:ascii="Times New Roman" w:hAnsi="Times New Roman" w:cs="Times New Roman"/>
          <w:sz w:val="24"/>
        </w:rPr>
        <w:t xml:space="preserve">Business.Com. Retrieved from </w:t>
      </w:r>
      <w:hyperlink r:id="rId7" w:history="1">
        <w:r w:rsidRPr="00D363E7">
          <w:rPr>
            <w:rStyle w:val="Hyperlink"/>
            <w:rFonts w:ascii="Times New Roman" w:hAnsi="Times New Roman" w:cs="Times New Roman"/>
            <w:sz w:val="24"/>
          </w:rPr>
          <w:t>https://www.business.com/articles/international-business-</w:t>
        </w:r>
      </w:hyperlink>
      <w:r>
        <w:rPr>
          <w:rFonts w:ascii="Times New Roman" w:hAnsi="Times New Roman" w:cs="Times New Roman"/>
          <w:sz w:val="24"/>
        </w:rPr>
        <w:tab/>
      </w:r>
      <w:r w:rsidRPr="00D96E8E">
        <w:rPr>
          <w:rFonts w:ascii="Times New Roman" w:hAnsi="Times New Roman" w:cs="Times New Roman"/>
          <w:sz w:val="24"/>
        </w:rPr>
        <w:t>law-101-5-international-business-and-trade-law-gotchas</w:t>
      </w:r>
    </w:p>
    <w:p w:rsidR="00D96E8E" w:rsidRPr="00D96E8E" w:rsidRDefault="00D96E8E" w:rsidP="00D96E8E">
      <w:pPr>
        <w:spacing w:after="0" w:line="480" w:lineRule="auto"/>
        <w:rPr>
          <w:rFonts w:ascii="Times New Roman" w:hAnsi="Times New Roman" w:cs="Times New Roman"/>
          <w:sz w:val="24"/>
        </w:rPr>
      </w:pPr>
      <w:r w:rsidRPr="00D96E8E">
        <w:rPr>
          <w:rFonts w:ascii="Times New Roman" w:hAnsi="Times New Roman" w:cs="Times New Roman"/>
          <w:sz w:val="24"/>
        </w:rPr>
        <w:t>Olympus (2018). Retrieved from http://www.olympusamerica.com/corporate/ethics_corporate_compliance.asp</w:t>
      </w:r>
    </w:p>
    <w:p w:rsidR="00D96E8E" w:rsidRPr="00D96E8E" w:rsidRDefault="00D96E8E" w:rsidP="00D96E8E">
      <w:pPr>
        <w:spacing w:after="0" w:line="480" w:lineRule="auto"/>
        <w:rPr>
          <w:rFonts w:ascii="Times New Roman" w:hAnsi="Times New Roman" w:cs="Times New Roman"/>
          <w:sz w:val="24"/>
        </w:rPr>
      </w:pPr>
      <w:r w:rsidRPr="00D96E8E">
        <w:rPr>
          <w:rFonts w:ascii="Times New Roman" w:hAnsi="Times New Roman" w:cs="Times New Roman"/>
          <w:sz w:val="24"/>
        </w:rPr>
        <w:t>Sherman, A. (2017). Expanding Abroad III: Legal Issues. Ewing Marion Kauffman Entrepreneurs Foundation.</w:t>
      </w:r>
    </w:p>
    <w:sectPr w:rsidR="00D96E8E" w:rsidRPr="00D96E8E" w:rsidSect="00D96E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E94" w:rsidRDefault="001D6E94" w:rsidP="00D96E8E">
      <w:pPr>
        <w:spacing w:after="0" w:line="240" w:lineRule="auto"/>
      </w:pPr>
      <w:r>
        <w:separator/>
      </w:r>
    </w:p>
  </w:endnote>
  <w:endnote w:type="continuationSeparator" w:id="0">
    <w:p w:rsidR="001D6E94" w:rsidRDefault="001D6E94" w:rsidP="00D96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E94" w:rsidRDefault="001D6E94" w:rsidP="00D96E8E">
      <w:pPr>
        <w:spacing w:after="0" w:line="240" w:lineRule="auto"/>
      </w:pPr>
      <w:r>
        <w:separator/>
      </w:r>
    </w:p>
  </w:footnote>
  <w:footnote w:type="continuationSeparator" w:id="0">
    <w:p w:rsidR="001D6E94" w:rsidRDefault="001D6E94" w:rsidP="00D96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E8E" w:rsidRPr="00D96E8E" w:rsidRDefault="00D96E8E" w:rsidP="00D96E8E">
    <w:pPr>
      <w:pStyle w:val="Header"/>
      <w:jc w:val="right"/>
      <w:rPr>
        <w:rFonts w:ascii="Times New Roman" w:hAnsi="Times New Roman" w:cs="Times New Roman"/>
        <w:sz w:val="24"/>
      </w:rPr>
    </w:pPr>
    <w:r w:rsidRPr="00D96E8E">
      <w:rPr>
        <w:rFonts w:ascii="Times New Roman" w:hAnsi="Times New Roman" w:cs="Times New Roman"/>
        <w:sz w:val="24"/>
      </w:rPr>
      <w:t>BUSINESS LAW</w:t>
    </w:r>
    <w:r w:rsidRPr="00D96E8E">
      <w:rPr>
        <w:rFonts w:ascii="Times New Roman" w:hAnsi="Times New Roman" w:cs="Times New Roman"/>
        <w:sz w:val="24"/>
      </w:rPr>
      <w:tab/>
    </w:r>
    <w:r w:rsidRPr="00D96E8E">
      <w:rPr>
        <w:rFonts w:ascii="Times New Roman" w:hAnsi="Times New Roman" w:cs="Times New Roman"/>
        <w:sz w:val="24"/>
      </w:rPr>
      <w:tab/>
    </w:r>
    <w:sdt>
      <w:sdtPr>
        <w:rPr>
          <w:rFonts w:ascii="Times New Roman" w:hAnsi="Times New Roman" w:cs="Times New Roman"/>
          <w:sz w:val="24"/>
        </w:rPr>
        <w:id w:val="2095738673"/>
        <w:docPartObj>
          <w:docPartGallery w:val="Page Numbers (Top of Page)"/>
          <w:docPartUnique/>
        </w:docPartObj>
      </w:sdtPr>
      <w:sdtEndPr>
        <w:rPr>
          <w:noProof/>
        </w:rPr>
      </w:sdtEndPr>
      <w:sdtContent>
        <w:r w:rsidRPr="00D96E8E">
          <w:rPr>
            <w:rFonts w:ascii="Times New Roman" w:hAnsi="Times New Roman" w:cs="Times New Roman"/>
            <w:sz w:val="24"/>
          </w:rPr>
          <w:fldChar w:fldCharType="begin"/>
        </w:r>
        <w:r w:rsidRPr="00D96E8E">
          <w:rPr>
            <w:rFonts w:ascii="Times New Roman" w:hAnsi="Times New Roman" w:cs="Times New Roman"/>
            <w:sz w:val="24"/>
          </w:rPr>
          <w:instrText xml:space="preserve"> PAGE   \* MERGEFORMAT </w:instrText>
        </w:r>
        <w:r w:rsidRPr="00D96E8E">
          <w:rPr>
            <w:rFonts w:ascii="Times New Roman" w:hAnsi="Times New Roman" w:cs="Times New Roman"/>
            <w:sz w:val="24"/>
          </w:rPr>
          <w:fldChar w:fldCharType="separate"/>
        </w:r>
        <w:r w:rsidR="002B2D65">
          <w:rPr>
            <w:rFonts w:ascii="Times New Roman" w:hAnsi="Times New Roman" w:cs="Times New Roman"/>
            <w:noProof/>
            <w:sz w:val="24"/>
          </w:rPr>
          <w:t>7</w:t>
        </w:r>
        <w:r w:rsidRPr="00D96E8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E8E" w:rsidRPr="00D96E8E" w:rsidRDefault="00D96E8E" w:rsidP="00D96E8E">
    <w:pPr>
      <w:pStyle w:val="Header"/>
      <w:jc w:val="right"/>
      <w:rPr>
        <w:rFonts w:ascii="Times New Roman" w:hAnsi="Times New Roman" w:cs="Times New Roman"/>
        <w:sz w:val="24"/>
      </w:rPr>
    </w:pPr>
    <w:r w:rsidRPr="00D96E8E">
      <w:rPr>
        <w:rFonts w:ascii="Times New Roman" w:hAnsi="Times New Roman" w:cs="Times New Roman"/>
        <w:sz w:val="24"/>
      </w:rPr>
      <w:t>Running head: BUSINESS LAW</w:t>
    </w:r>
    <w:r w:rsidRPr="00D96E8E">
      <w:rPr>
        <w:rFonts w:ascii="Times New Roman" w:hAnsi="Times New Roman" w:cs="Times New Roman"/>
        <w:sz w:val="24"/>
      </w:rPr>
      <w:tab/>
    </w:r>
    <w:r w:rsidRPr="00D96E8E">
      <w:rPr>
        <w:rFonts w:ascii="Times New Roman" w:hAnsi="Times New Roman" w:cs="Times New Roman"/>
        <w:sz w:val="24"/>
      </w:rPr>
      <w:tab/>
    </w:r>
    <w:sdt>
      <w:sdtPr>
        <w:rPr>
          <w:rFonts w:ascii="Times New Roman" w:hAnsi="Times New Roman" w:cs="Times New Roman"/>
          <w:sz w:val="24"/>
        </w:rPr>
        <w:id w:val="1956828293"/>
        <w:docPartObj>
          <w:docPartGallery w:val="Page Numbers (Top of Page)"/>
          <w:docPartUnique/>
        </w:docPartObj>
      </w:sdtPr>
      <w:sdtEndPr>
        <w:rPr>
          <w:noProof/>
        </w:rPr>
      </w:sdtEndPr>
      <w:sdtContent>
        <w:r w:rsidRPr="00D96E8E">
          <w:rPr>
            <w:rFonts w:ascii="Times New Roman" w:hAnsi="Times New Roman" w:cs="Times New Roman"/>
            <w:sz w:val="24"/>
          </w:rPr>
          <w:fldChar w:fldCharType="begin"/>
        </w:r>
        <w:r w:rsidRPr="00D96E8E">
          <w:rPr>
            <w:rFonts w:ascii="Times New Roman" w:hAnsi="Times New Roman" w:cs="Times New Roman"/>
            <w:sz w:val="24"/>
          </w:rPr>
          <w:instrText xml:space="preserve"> PAGE   \* MERGEFORMAT </w:instrText>
        </w:r>
        <w:r w:rsidRPr="00D96E8E">
          <w:rPr>
            <w:rFonts w:ascii="Times New Roman" w:hAnsi="Times New Roman" w:cs="Times New Roman"/>
            <w:sz w:val="24"/>
          </w:rPr>
          <w:fldChar w:fldCharType="separate"/>
        </w:r>
        <w:r w:rsidR="001D6E94">
          <w:rPr>
            <w:rFonts w:ascii="Times New Roman" w:hAnsi="Times New Roman" w:cs="Times New Roman"/>
            <w:noProof/>
            <w:sz w:val="24"/>
          </w:rPr>
          <w:t>1</w:t>
        </w:r>
        <w:r w:rsidRPr="00D96E8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2EA"/>
    <w:rsid w:val="00163373"/>
    <w:rsid w:val="001750AB"/>
    <w:rsid w:val="001D6E94"/>
    <w:rsid w:val="002B2D65"/>
    <w:rsid w:val="003E5E54"/>
    <w:rsid w:val="00462C81"/>
    <w:rsid w:val="004B77F5"/>
    <w:rsid w:val="004F7526"/>
    <w:rsid w:val="00513C7C"/>
    <w:rsid w:val="006247B7"/>
    <w:rsid w:val="00803722"/>
    <w:rsid w:val="008F0F47"/>
    <w:rsid w:val="00A70BF3"/>
    <w:rsid w:val="00A90F75"/>
    <w:rsid w:val="00B77511"/>
    <w:rsid w:val="00C84A83"/>
    <w:rsid w:val="00D96E8E"/>
    <w:rsid w:val="00DF6E06"/>
    <w:rsid w:val="00E67F62"/>
    <w:rsid w:val="00EF6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6E8E"/>
    <w:rPr>
      <w:color w:val="0563C1" w:themeColor="hyperlink"/>
      <w:u w:val="single"/>
    </w:rPr>
  </w:style>
  <w:style w:type="paragraph" w:styleId="Header">
    <w:name w:val="header"/>
    <w:basedOn w:val="Normal"/>
    <w:link w:val="HeaderChar"/>
    <w:uiPriority w:val="99"/>
    <w:unhideWhenUsed/>
    <w:rsid w:val="00D96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E8E"/>
  </w:style>
  <w:style w:type="paragraph" w:styleId="Footer">
    <w:name w:val="footer"/>
    <w:basedOn w:val="Normal"/>
    <w:link w:val="FooterChar"/>
    <w:uiPriority w:val="99"/>
    <w:unhideWhenUsed/>
    <w:rsid w:val="00D96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E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6E8E"/>
    <w:rPr>
      <w:color w:val="0563C1" w:themeColor="hyperlink"/>
      <w:u w:val="single"/>
    </w:rPr>
  </w:style>
  <w:style w:type="paragraph" w:styleId="Header">
    <w:name w:val="header"/>
    <w:basedOn w:val="Normal"/>
    <w:link w:val="HeaderChar"/>
    <w:uiPriority w:val="99"/>
    <w:unhideWhenUsed/>
    <w:rsid w:val="00D96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E8E"/>
  </w:style>
  <w:style w:type="paragraph" w:styleId="Footer">
    <w:name w:val="footer"/>
    <w:basedOn w:val="Normal"/>
    <w:link w:val="FooterChar"/>
    <w:uiPriority w:val="99"/>
    <w:unhideWhenUsed/>
    <w:rsid w:val="00D96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siness.com/articles/international-busin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8481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2019-07-30T23:42:00Z</dcterms:created>
  <dcterms:modified xsi:type="dcterms:W3CDTF">2019-07-30T23:42:00Z</dcterms:modified>
</cp:coreProperties>
</file>