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2EB2" w:rsidRPr="005A301C" w:rsidRDefault="000A2EB2" w:rsidP="005A301C">
      <w:pPr>
        <w:spacing w:line="480" w:lineRule="auto"/>
        <w:jc w:val="center"/>
        <w:rPr>
          <w:rFonts w:ascii="Times New Roman" w:hAnsi="Times New Roman" w:cs="Times New Roman"/>
          <w:sz w:val="24"/>
          <w:szCs w:val="24"/>
        </w:rPr>
      </w:pPr>
    </w:p>
    <w:p w:rsidR="000A2EB2" w:rsidRPr="005A301C" w:rsidRDefault="000A2EB2" w:rsidP="005A301C">
      <w:pPr>
        <w:spacing w:line="480" w:lineRule="auto"/>
        <w:jc w:val="center"/>
        <w:rPr>
          <w:rFonts w:ascii="Times New Roman" w:hAnsi="Times New Roman" w:cs="Times New Roman"/>
          <w:sz w:val="24"/>
          <w:szCs w:val="24"/>
        </w:rPr>
      </w:pPr>
    </w:p>
    <w:p w:rsidR="000A2EB2" w:rsidRPr="005A301C" w:rsidRDefault="000A2EB2" w:rsidP="005A301C">
      <w:pPr>
        <w:spacing w:line="480" w:lineRule="auto"/>
        <w:jc w:val="center"/>
        <w:rPr>
          <w:rFonts w:ascii="Times New Roman" w:hAnsi="Times New Roman" w:cs="Times New Roman"/>
          <w:sz w:val="24"/>
          <w:szCs w:val="24"/>
        </w:rPr>
      </w:pPr>
    </w:p>
    <w:p w:rsidR="000A2EB2" w:rsidRPr="005A301C" w:rsidRDefault="000A2EB2" w:rsidP="005A301C">
      <w:pPr>
        <w:spacing w:line="480" w:lineRule="auto"/>
        <w:jc w:val="center"/>
        <w:rPr>
          <w:rFonts w:ascii="Times New Roman" w:hAnsi="Times New Roman" w:cs="Times New Roman"/>
          <w:sz w:val="24"/>
          <w:szCs w:val="24"/>
        </w:rPr>
      </w:pPr>
    </w:p>
    <w:p w:rsidR="000A2EB2" w:rsidRPr="005A301C" w:rsidRDefault="000A2EB2" w:rsidP="005A301C">
      <w:pPr>
        <w:spacing w:line="480" w:lineRule="auto"/>
        <w:jc w:val="center"/>
        <w:rPr>
          <w:rFonts w:ascii="Times New Roman" w:hAnsi="Times New Roman" w:cs="Times New Roman"/>
          <w:sz w:val="24"/>
          <w:szCs w:val="24"/>
        </w:rPr>
      </w:pPr>
    </w:p>
    <w:p w:rsidR="000A2EB2" w:rsidRPr="005A301C" w:rsidRDefault="000A2EB2" w:rsidP="005A301C">
      <w:pPr>
        <w:spacing w:line="480" w:lineRule="auto"/>
        <w:jc w:val="center"/>
        <w:rPr>
          <w:rFonts w:ascii="Times New Roman" w:hAnsi="Times New Roman" w:cs="Times New Roman"/>
          <w:sz w:val="24"/>
          <w:szCs w:val="24"/>
        </w:rPr>
      </w:pPr>
    </w:p>
    <w:p w:rsidR="000A2EB2" w:rsidRPr="005A301C" w:rsidRDefault="000A2EB2" w:rsidP="005A301C">
      <w:pPr>
        <w:spacing w:line="480" w:lineRule="auto"/>
        <w:jc w:val="center"/>
        <w:rPr>
          <w:rFonts w:ascii="Times New Roman" w:hAnsi="Times New Roman" w:cs="Times New Roman"/>
          <w:sz w:val="24"/>
          <w:szCs w:val="24"/>
        </w:rPr>
      </w:pPr>
    </w:p>
    <w:p w:rsidR="00DA2D74" w:rsidRPr="005A301C" w:rsidRDefault="00DA2D74" w:rsidP="005A301C">
      <w:pPr>
        <w:spacing w:line="480" w:lineRule="auto"/>
        <w:jc w:val="center"/>
        <w:rPr>
          <w:rFonts w:ascii="Times New Roman" w:hAnsi="Times New Roman" w:cs="Times New Roman"/>
          <w:sz w:val="24"/>
          <w:szCs w:val="24"/>
        </w:rPr>
      </w:pPr>
    </w:p>
    <w:p w:rsidR="00440520" w:rsidRPr="005A301C" w:rsidRDefault="00E92573" w:rsidP="005A301C">
      <w:pPr>
        <w:spacing w:line="480" w:lineRule="auto"/>
        <w:jc w:val="center"/>
        <w:rPr>
          <w:rFonts w:ascii="Times New Roman" w:hAnsi="Times New Roman" w:cs="Times New Roman"/>
          <w:sz w:val="24"/>
          <w:szCs w:val="24"/>
        </w:rPr>
      </w:pPr>
      <w:r>
        <w:rPr>
          <w:rFonts w:ascii="Times New Roman" w:hAnsi="Times New Roman" w:cs="Times New Roman"/>
          <w:sz w:val="24"/>
          <w:szCs w:val="24"/>
        </w:rPr>
        <w:t>BP Corporate Culture</w:t>
      </w:r>
    </w:p>
    <w:p w:rsidR="000A2EB2" w:rsidRPr="005A301C" w:rsidRDefault="000A2EB2" w:rsidP="005A301C">
      <w:pPr>
        <w:spacing w:line="480" w:lineRule="auto"/>
        <w:jc w:val="center"/>
        <w:rPr>
          <w:rFonts w:ascii="Times New Roman" w:hAnsi="Times New Roman" w:cs="Times New Roman"/>
          <w:sz w:val="24"/>
          <w:szCs w:val="24"/>
        </w:rPr>
      </w:pPr>
      <w:r w:rsidRPr="005A301C">
        <w:rPr>
          <w:rFonts w:ascii="Times New Roman" w:hAnsi="Times New Roman" w:cs="Times New Roman"/>
          <w:sz w:val="24"/>
          <w:szCs w:val="24"/>
        </w:rPr>
        <w:t>Student’s Name</w:t>
      </w:r>
    </w:p>
    <w:p w:rsidR="000A2EB2" w:rsidRPr="005A301C" w:rsidRDefault="000A2EB2" w:rsidP="005A301C">
      <w:pPr>
        <w:spacing w:line="480" w:lineRule="auto"/>
        <w:jc w:val="center"/>
        <w:rPr>
          <w:rFonts w:ascii="Times New Roman" w:hAnsi="Times New Roman" w:cs="Times New Roman"/>
          <w:sz w:val="24"/>
          <w:szCs w:val="24"/>
        </w:rPr>
      </w:pPr>
      <w:r w:rsidRPr="005A301C">
        <w:rPr>
          <w:rFonts w:ascii="Times New Roman" w:hAnsi="Times New Roman" w:cs="Times New Roman"/>
          <w:sz w:val="24"/>
          <w:szCs w:val="24"/>
        </w:rPr>
        <w:t>Institutional Affiliation</w:t>
      </w:r>
    </w:p>
    <w:p w:rsidR="00056A50" w:rsidRPr="005A301C" w:rsidRDefault="00056A50" w:rsidP="005A301C">
      <w:pPr>
        <w:spacing w:line="480" w:lineRule="auto"/>
        <w:rPr>
          <w:rFonts w:ascii="Times New Roman" w:hAnsi="Times New Roman" w:cs="Times New Roman"/>
          <w:sz w:val="24"/>
          <w:szCs w:val="24"/>
        </w:rPr>
      </w:pPr>
      <w:r w:rsidRPr="005A301C">
        <w:rPr>
          <w:rFonts w:ascii="Times New Roman" w:hAnsi="Times New Roman" w:cs="Times New Roman"/>
          <w:sz w:val="24"/>
          <w:szCs w:val="24"/>
        </w:rPr>
        <w:br w:type="page"/>
      </w:r>
    </w:p>
    <w:p w:rsidR="004954A5" w:rsidRPr="005A301C" w:rsidRDefault="00E92573" w:rsidP="005A301C">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BP Corporate Culture</w:t>
      </w:r>
    </w:p>
    <w:p w:rsidR="009465C2" w:rsidRPr="00E92573" w:rsidRDefault="00E92573" w:rsidP="00E92573">
      <w:pPr>
        <w:spacing w:line="480" w:lineRule="auto"/>
        <w:jc w:val="center"/>
        <w:rPr>
          <w:rFonts w:ascii="Times New Roman" w:hAnsi="Times New Roman" w:cs="Times New Roman"/>
          <w:b/>
          <w:sz w:val="24"/>
          <w:szCs w:val="24"/>
        </w:rPr>
      </w:pPr>
      <w:r w:rsidRPr="00E92573">
        <w:rPr>
          <w:rFonts w:ascii="Times New Roman" w:hAnsi="Times New Roman" w:cs="Times New Roman"/>
          <w:b/>
          <w:sz w:val="24"/>
          <w:szCs w:val="24"/>
        </w:rPr>
        <w:t>BP’s Gulf Oil Spill</w:t>
      </w:r>
    </w:p>
    <w:p w:rsidR="00E92573" w:rsidRPr="00E92573" w:rsidRDefault="00A7246E" w:rsidP="00E92573">
      <w:pPr>
        <w:spacing w:line="480" w:lineRule="auto"/>
        <w:rPr>
          <w:rFonts w:ascii="Times New Roman" w:hAnsi="Times New Roman" w:cs="Times New Roman"/>
          <w:sz w:val="24"/>
          <w:szCs w:val="24"/>
        </w:rPr>
      </w:pPr>
      <w:r>
        <w:rPr>
          <w:rFonts w:ascii="Times New Roman" w:hAnsi="Times New Roman" w:cs="Times New Roman"/>
          <w:sz w:val="24"/>
          <w:szCs w:val="24"/>
        </w:rPr>
        <w:tab/>
      </w:r>
      <w:r w:rsidR="00E92573" w:rsidRPr="00E92573">
        <w:t xml:space="preserve"> </w:t>
      </w:r>
      <w:r w:rsidR="00E92573" w:rsidRPr="00E92573">
        <w:rPr>
          <w:rFonts w:ascii="Times New Roman" w:hAnsi="Times New Roman" w:cs="Times New Roman"/>
          <w:sz w:val="24"/>
          <w:szCs w:val="24"/>
        </w:rPr>
        <w:t>BP oil failed in its oversite and decision capability by failing to oversee the cementing job done by Halliburton carefully</w:t>
      </w:r>
      <w:r w:rsidR="00B165AC">
        <w:rPr>
          <w:rFonts w:ascii="Times New Roman" w:hAnsi="Times New Roman" w:cs="Times New Roman"/>
          <w:sz w:val="24"/>
          <w:szCs w:val="24"/>
        </w:rPr>
        <w:t xml:space="preserve"> (Brooks and Dunn, </w:t>
      </w:r>
      <w:r w:rsidR="00CC4A8A">
        <w:rPr>
          <w:rFonts w:ascii="Times New Roman" w:hAnsi="Times New Roman" w:cs="Times New Roman"/>
          <w:sz w:val="24"/>
          <w:szCs w:val="24"/>
        </w:rPr>
        <w:t>2018</w:t>
      </w:r>
      <w:r w:rsidR="00B165AC">
        <w:rPr>
          <w:rFonts w:ascii="Times New Roman" w:hAnsi="Times New Roman" w:cs="Times New Roman"/>
          <w:sz w:val="24"/>
          <w:szCs w:val="24"/>
        </w:rPr>
        <w:t>)</w:t>
      </w:r>
      <w:r w:rsidR="00E92573" w:rsidRPr="00E92573">
        <w:rPr>
          <w:rFonts w:ascii="Times New Roman" w:hAnsi="Times New Roman" w:cs="Times New Roman"/>
          <w:sz w:val="24"/>
          <w:szCs w:val="24"/>
        </w:rPr>
        <w:t>. Additionally, the BP personnel on duty misread a pressure test, which proved improper sealing of the well. My vision of a good risk management process involves BP showing exceptional commitment to ensuring safety first. The goal is achievable through providing that their engineers carry out the laid out procedures that assure safety. In contrast, BP seems to be lacking risk management processes by not following through to ensure that the team of engineers formally conducted risk impact assessment tests for the cement job.  BP had another ecological disaster before the tragic oil spill. In 2006, BP had a massive oil leak in Prudhoe Bay oilfield, Alaska. Despite the continuous warning reported to BP about internal corrosion, The Company ignored.</w:t>
      </w:r>
    </w:p>
    <w:p w:rsidR="00E92573" w:rsidRPr="00E92573" w:rsidRDefault="00E92573" w:rsidP="00E92573">
      <w:pPr>
        <w:spacing w:line="480" w:lineRule="auto"/>
        <w:jc w:val="center"/>
        <w:rPr>
          <w:rFonts w:ascii="Times New Roman" w:hAnsi="Times New Roman" w:cs="Times New Roman"/>
          <w:b/>
          <w:sz w:val="24"/>
          <w:szCs w:val="24"/>
        </w:rPr>
      </w:pPr>
      <w:r w:rsidRPr="00E92573">
        <w:rPr>
          <w:rFonts w:ascii="Times New Roman" w:hAnsi="Times New Roman" w:cs="Times New Roman"/>
          <w:b/>
          <w:sz w:val="24"/>
          <w:szCs w:val="24"/>
        </w:rPr>
        <w:t>BP Corporate Culture</w:t>
      </w:r>
    </w:p>
    <w:p w:rsidR="00613F85" w:rsidRPr="005A301C" w:rsidRDefault="00E92573" w:rsidP="00E92573">
      <w:pPr>
        <w:spacing w:line="480" w:lineRule="auto"/>
        <w:rPr>
          <w:rFonts w:ascii="Times New Roman" w:hAnsi="Times New Roman" w:cs="Times New Roman"/>
          <w:sz w:val="24"/>
          <w:szCs w:val="24"/>
        </w:rPr>
      </w:pPr>
      <w:r>
        <w:rPr>
          <w:rFonts w:ascii="Times New Roman" w:hAnsi="Times New Roman" w:cs="Times New Roman"/>
          <w:sz w:val="24"/>
          <w:szCs w:val="24"/>
        </w:rPr>
        <w:tab/>
      </w:r>
      <w:r w:rsidRPr="00E92573">
        <w:rPr>
          <w:rFonts w:ascii="Times New Roman" w:hAnsi="Times New Roman" w:cs="Times New Roman"/>
          <w:sz w:val="24"/>
          <w:szCs w:val="24"/>
        </w:rPr>
        <w:t xml:space="preserve">BP’s </w:t>
      </w:r>
      <w:r w:rsidR="00F86010" w:rsidRPr="00E92573">
        <w:rPr>
          <w:rFonts w:ascii="Times New Roman" w:hAnsi="Times New Roman" w:cs="Times New Roman"/>
          <w:sz w:val="24"/>
          <w:szCs w:val="24"/>
        </w:rPr>
        <w:t>corporate</w:t>
      </w:r>
      <w:r w:rsidRPr="00E92573">
        <w:rPr>
          <w:rFonts w:ascii="Times New Roman" w:hAnsi="Times New Roman" w:cs="Times New Roman"/>
          <w:sz w:val="24"/>
          <w:szCs w:val="24"/>
        </w:rPr>
        <w:t xml:space="preserve"> culture can be defined as Reckless. The activities engaged by various employees showed laxity towards adhering to safety measures expected in rigs. The management may deny the observation but the drive to make more profits and overlook safety depicting a culture of complacency.   The previous mishaps by BP leading to the various accidents can be attributed directly to conscious human error. Since the accidents result after a series of consistent mistakes, it is crucial to establish</w:t>
      </w:r>
      <w:r w:rsidR="0086007C">
        <w:rPr>
          <w:rFonts w:ascii="Times New Roman" w:hAnsi="Times New Roman" w:cs="Times New Roman"/>
          <w:sz w:val="24"/>
          <w:szCs w:val="24"/>
        </w:rPr>
        <w:t xml:space="preserve"> motivation. According to Hoffman and</w:t>
      </w:r>
      <w:r w:rsidR="0086007C" w:rsidRPr="00F86010">
        <w:rPr>
          <w:rFonts w:ascii="Times New Roman" w:hAnsi="Times New Roman" w:cs="Times New Roman"/>
          <w:sz w:val="24"/>
          <w:szCs w:val="24"/>
        </w:rPr>
        <w:t xml:space="preserve"> </w:t>
      </w:r>
      <w:r w:rsidR="0086007C">
        <w:rPr>
          <w:rFonts w:ascii="Times New Roman" w:hAnsi="Times New Roman" w:cs="Times New Roman"/>
          <w:sz w:val="24"/>
          <w:szCs w:val="24"/>
        </w:rPr>
        <w:t>Devereaux (2011)</w:t>
      </w:r>
      <w:r w:rsidRPr="00E92573">
        <w:rPr>
          <w:rFonts w:ascii="Times New Roman" w:hAnsi="Times New Roman" w:cs="Times New Roman"/>
          <w:sz w:val="24"/>
          <w:szCs w:val="24"/>
        </w:rPr>
        <w:t xml:space="preserve">, BP can easily bypass safety to reduce downtime on a rig. Less downtime would mean more revenue for BP. Hence money is motivation. To ensure that oil spillage never occurs again in the future, I would propose a framework that ensures safety is adhered to at all levels in the organization. </w:t>
      </w:r>
      <w:r w:rsidRPr="00E92573">
        <w:rPr>
          <w:rFonts w:ascii="Times New Roman" w:hAnsi="Times New Roman" w:cs="Times New Roman"/>
          <w:sz w:val="24"/>
          <w:szCs w:val="24"/>
        </w:rPr>
        <w:lastRenderedPageBreak/>
        <w:t xml:space="preserve">Safety should precede cost issues when exploring oil or gas on and offshore. I would propose </w:t>
      </w:r>
      <w:r w:rsidR="00653438" w:rsidRPr="00E92573">
        <w:rPr>
          <w:rFonts w:ascii="Times New Roman" w:hAnsi="Times New Roman" w:cs="Times New Roman"/>
          <w:sz w:val="24"/>
          <w:szCs w:val="24"/>
        </w:rPr>
        <w:t>collaboration</w:t>
      </w:r>
      <w:r w:rsidRPr="00E92573">
        <w:rPr>
          <w:rFonts w:ascii="Times New Roman" w:hAnsi="Times New Roman" w:cs="Times New Roman"/>
          <w:sz w:val="24"/>
          <w:szCs w:val="24"/>
        </w:rPr>
        <w:t xml:space="preserve"> with regulators to assist in ensuring BP meets the highest safety standards using technology in safety systems.</w:t>
      </w:r>
    </w:p>
    <w:p w:rsidR="00E92573" w:rsidRDefault="00E92573">
      <w:pPr>
        <w:rPr>
          <w:rFonts w:ascii="Times New Roman" w:hAnsi="Times New Roman" w:cs="Times New Roman"/>
          <w:sz w:val="24"/>
          <w:szCs w:val="24"/>
        </w:rPr>
      </w:pPr>
      <w:r>
        <w:rPr>
          <w:rFonts w:ascii="Times New Roman" w:hAnsi="Times New Roman" w:cs="Times New Roman"/>
          <w:sz w:val="24"/>
          <w:szCs w:val="24"/>
        </w:rPr>
        <w:br w:type="page"/>
      </w:r>
    </w:p>
    <w:p w:rsidR="00C631B9" w:rsidRPr="005A301C" w:rsidRDefault="007A6EE5" w:rsidP="005A301C">
      <w:pPr>
        <w:spacing w:line="480" w:lineRule="auto"/>
        <w:jc w:val="center"/>
        <w:rPr>
          <w:rFonts w:ascii="Times New Roman" w:hAnsi="Times New Roman" w:cs="Times New Roman"/>
          <w:sz w:val="24"/>
          <w:szCs w:val="24"/>
        </w:rPr>
      </w:pPr>
      <w:r w:rsidRPr="005A301C">
        <w:rPr>
          <w:rFonts w:ascii="Times New Roman" w:hAnsi="Times New Roman" w:cs="Times New Roman"/>
          <w:sz w:val="24"/>
          <w:szCs w:val="24"/>
        </w:rPr>
        <w:lastRenderedPageBreak/>
        <w:t>References</w:t>
      </w:r>
    </w:p>
    <w:p w:rsidR="00F86010" w:rsidRDefault="00F86010" w:rsidP="00A40BA7">
      <w:pPr>
        <w:spacing w:line="480" w:lineRule="auto"/>
        <w:rPr>
          <w:rFonts w:ascii="Times New Roman" w:hAnsi="Times New Roman" w:cs="Times New Roman"/>
          <w:sz w:val="24"/>
          <w:szCs w:val="24"/>
        </w:rPr>
      </w:pPr>
      <w:r w:rsidRPr="00F86010">
        <w:rPr>
          <w:rFonts w:ascii="Times New Roman" w:hAnsi="Times New Roman" w:cs="Times New Roman"/>
          <w:sz w:val="24"/>
          <w:szCs w:val="24"/>
        </w:rPr>
        <w:t xml:space="preserve">Hoffman, A. J., &amp; Devereaux Jennings, P. (2011). The BP Oil Spill as a Cultural Anomaly? </w:t>
      </w:r>
      <w:r>
        <w:rPr>
          <w:rFonts w:ascii="Times New Roman" w:hAnsi="Times New Roman" w:cs="Times New Roman"/>
          <w:sz w:val="24"/>
          <w:szCs w:val="24"/>
        </w:rPr>
        <w:tab/>
      </w:r>
      <w:r w:rsidRPr="00F86010">
        <w:rPr>
          <w:rFonts w:ascii="Times New Roman" w:hAnsi="Times New Roman" w:cs="Times New Roman"/>
          <w:sz w:val="24"/>
          <w:szCs w:val="24"/>
        </w:rPr>
        <w:t xml:space="preserve">Institutional Context, Conflict, and Change. </w:t>
      </w:r>
      <w:r w:rsidRPr="0086007C">
        <w:rPr>
          <w:rFonts w:ascii="Times New Roman" w:hAnsi="Times New Roman" w:cs="Times New Roman"/>
          <w:i/>
          <w:sz w:val="24"/>
          <w:szCs w:val="24"/>
        </w:rPr>
        <w:t>Journal of Management Inquiry,</w:t>
      </w:r>
      <w:r w:rsidRPr="00F86010">
        <w:rPr>
          <w:rFonts w:ascii="Times New Roman" w:hAnsi="Times New Roman" w:cs="Times New Roman"/>
          <w:sz w:val="24"/>
          <w:szCs w:val="24"/>
        </w:rPr>
        <w:t xml:space="preserve"> 20(2), 100–</w:t>
      </w:r>
      <w:r>
        <w:rPr>
          <w:rFonts w:ascii="Times New Roman" w:hAnsi="Times New Roman" w:cs="Times New Roman"/>
          <w:sz w:val="24"/>
          <w:szCs w:val="24"/>
        </w:rPr>
        <w:tab/>
      </w:r>
      <w:r w:rsidRPr="00F86010">
        <w:rPr>
          <w:rFonts w:ascii="Times New Roman" w:hAnsi="Times New Roman" w:cs="Times New Roman"/>
          <w:sz w:val="24"/>
          <w:szCs w:val="24"/>
        </w:rPr>
        <w:t>112.</w:t>
      </w:r>
    </w:p>
    <w:p w:rsidR="00B241F8" w:rsidRDefault="00760EBC" w:rsidP="00A40BA7">
      <w:pPr>
        <w:spacing w:line="480" w:lineRule="auto"/>
        <w:rPr>
          <w:rFonts w:ascii="Times New Roman" w:hAnsi="Times New Roman" w:cs="Times New Roman"/>
          <w:sz w:val="24"/>
          <w:szCs w:val="24"/>
        </w:rPr>
      </w:pPr>
      <w:r>
        <w:rPr>
          <w:rFonts w:ascii="Times New Roman" w:hAnsi="Times New Roman" w:cs="Times New Roman"/>
          <w:sz w:val="24"/>
          <w:szCs w:val="24"/>
        </w:rPr>
        <w:t>Brooks, L. J., &amp; Dunn, P. (</w:t>
      </w:r>
      <w:bookmarkStart w:id="0" w:name="_GoBack"/>
      <w:bookmarkEnd w:id="0"/>
      <w:r>
        <w:rPr>
          <w:rFonts w:ascii="Times New Roman" w:hAnsi="Times New Roman" w:cs="Times New Roman"/>
          <w:sz w:val="24"/>
          <w:szCs w:val="24"/>
        </w:rPr>
        <w:t>2018</w:t>
      </w:r>
      <w:r w:rsidR="00B241F8" w:rsidRPr="00B241F8">
        <w:rPr>
          <w:rFonts w:ascii="Times New Roman" w:hAnsi="Times New Roman" w:cs="Times New Roman"/>
          <w:sz w:val="24"/>
          <w:szCs w:val="24"/>
        </w:rPr>
        <w:t xml:space="preserve">). Business </w:t>
      </w:r>
      <w:r w:rsidR="00B241F8">
        <w:rPr>
          <w:rFonts w:ascii="Times New Roman" w:hAnsi="Times New Roman" w:cs="Times New Roman"/>
          <w:sz w:val="24"/>
          <w:szCs w:val="24"/>
        </w:rPr>
        <w:t>&amp; Professional Ethics f</w:t>
      </w:r>
      <w:r w:rsidR="00B241F8" w:rsidRPr="00B241F8">
        <w:rPr>
          <w:rFonts w:ascii="Times New Roman" w:hAnsi="Times New Roman" w:cs="Times New Roman"/>
          <w:sz w:val="24"/>
          <w:szCs w:val="24"/>
        </w:rPr>
        <w:t xml:space="preserve">or Directors, Executives, &amp; </w:t>
      </w:r>
      <w:r w:rsidR="00B241F8">
        <w:rPr>
          <w:rFonts w:ascii="Times New Roman" w:hAnsi="Times New Roman" w:cs="Times New Roman"/>
          <w:sz w:val="24"/>
          <w:szCs w:val="24"/>
        </w:rPr>
        <w:tab/>
      </w:r>
      <w:r w:rsidR="00B241F8" w:rsidRPr="00B241F8">
        <w:rPr>
          <w:rFonts w:ascii="Times New Roman" w:hAnsi="Times New Roman" w:cs="Times New Roman"/>
          <w:sz w:val="24"/>
          <w:szCs w:val="24"/>
        </w:rPr>
        <w:t>Accountants. Mason, OH: South Western Cengage Learning.</w:t>
      </w:r>
    </w:p>
    <w:p w:rsidR="00AC015B" w:rsidRPr="0061661E" w:rsidRDefault="00AC015B" w:rsidP="00A40BA7">
      <w:pPr>
        <w:spacing w:line="480" w:lineRule="auto"/>
        <w:rPr>
          <w:rFonts w:ascii="Times New Roman" w:hAnsi="Times New Roman" w:cs="Times New Roman"/>
          <w:sz w:val="24"/>
          <w:szCs w:val="24"/>
        </w:rPr>
      </w:pPr>
    </w:p>
    <w:p w:rsidR="00A40BA7" w:rsidRPr="005A301C" w:rsidRDefault="00A40BA7" w:rsidP="005A301C">
      <w:pPr>
        <w:spacing w:line="480" w:lineRule="auto"/>
        <w:rPr>
          <w:rFonts w:ascii="Times New Roman" w:hAnsi="Times New Roman" w:cs="Times New Roman"/>
          <w:sz w:val="24"/>
          <w:szCs w:val="24"/>
        </w:rPr>
      </w:pPr>
    </w:p>
    <w:sectPr w:rsidR="00A40BA7" w:rsidRPr="005A301C" w:rsidSect="000A2E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3A6C" w:rsidRDefault="00CE3A6C" w:rsidP="00B01586">
      <w:pPr>
        <w:spacing w:after="0" w:line="240" w:lineRule="auto"/>
      </w:pPr>
      <w:r>
        <w:separator/>
      </w:r>
    </w:p>
  </w:endnote>
  <w:endnote w:type="continuationSeparator" w:id="0">
    <w:p w:rsidR="00CE3A6C" w:rsidRDefault="00CE3A6C" w:rsidP="00B01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altName w:val="Times New Roman"/>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3A6C" w:rsidRDefault="00CE3A6C" w:rsidP="00B01586">
      <w:pPr>
        <w:spacing w:after="0" w:line="240" w:lineRule="auto"/>
      </w:pPr>
      <w:r>
        <w:separator/>
      </w:r>
    </w:p>
  </w:footnote>
  <w:footnote w:type="continuationSeparator" w:id="0">
    <w:p w:rsidR="00CE3A6C" w:rsidRDefault="00CE3A6C" w:rsidP="00B015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EB2" w:rsidRPr="000A2EB2" w:rsidRDefault="00E92573" w:rsidP="000A2EB2">
    <w:pPr>
      <w:pStyle w:val="Header"/>
      <w:jc w:val="right"/>
      <w:rPr>
        <w:rFonts w:ascii="Times New Roman" w:hAnsi="Times New Roman" w:cs="Times New Roman"/>
        <w:sz w:val="24"/>
        <w:szCs w:val="24"/>
      </w:rPr>
    </w:pPr>
    <w:r>
      <w:rPr>
        <w:rFonts w:ascii="Times New Roman" w:hAnsi="Times New Roman" w:cs="Times New Roman"/>
        <w:sz w:val="24"/>
        <w:szCs w:val="24"/>
      </w:rPr>
      <w:t xml:space="preserve">BP CORPORATE CULTURE </w:t>
    </w:r>
    <w:r w:rsidR="000A2EB2">
      <w:rPr>
        <w:rFonts w:ascii="Times New Roman" w:hAnsi="Times New Roman" w:cs="Times New Roman"/>
        <w:sz w:val="24"/>
        <w:szCs w:val="24"/>
      </w:rPr>
      <w:tab/>
    </w:r>
    <w:r w:rsidR="000A2EB2" w:rsidRPr="000A2EB2">
      <w:rPr>
        <w:rFonts w:ascii="Times New Roman" w:hAnsi="Times New Roman" w:cs="Times New Roman"/>
        <w:sz w:val="24"/>
        <w:szCs w:val="24"/>
      </w:rPr>
      <w:tab/>
    </w:r>
    <w:sdt>
      <w:sdtPr>
        <w:rPr>
          <w:rFonts w:ascii="Times New Roman" w:hAnsi="Times New Roman" w:cs="Times New Roman"/>
          <w:sz w:val="24"/>
          <w:szCs w:val="24"/>
        </w:rPr>
        <w:id w:val="2060282782"/>
        <w:docPartObj>
          <w:docPartGallery w:val="Page Numbers (Top of Page)"/>
          <w:docPartUnique/>
        </w:docPartObj>
      </w:sdtPr>
      <w:sdtEndPr>
        <w:rPr>
          <w:noProof/>
        </w:rPr>
      </w:sdtEndPr>
      <w:sdtContent>
        <w:r w:rsidR="000A2EB2" w:rsidRPr="000A2EB2">
          <w:rPr>
            <w:rFonts w:ascii="Times New Roman" w:hAnsi="Times New Roman" w:cs="Times New Roman"/>
            <w:sz w:val="24"/>
            <w:szCs w:val="24"/>
          </w:rPr>
          <w:fldChar w:fldCharType="begin"/>
        </w:r>
        <w:r w:rsidR="000A2EB2" w:rsidRPr="000A2EB2">
          <w:rPr>
            <w:rFonts w:ascii="Times New Roman" w:hAnsi="Times New Roman" w:cs="Times New Roman"/>
            <w:sz w:val="24"/>
            <w:szCs w:val="24"/>
          </w:rPr>
          <w:instrText xml:space="preserve"> PAGE   \* MERGEFORMAT </w:instrText>
        </w:r>
        <w:r w:rsidR="000A2EB2" w:rsidRPr="000A2EB2">
          <w:rPr>
            <w:rFonts w:ascii="Times New Roman" w:hAnsi="Times New Roman" w:cs="Times New Roman"/>
            <w:sz w:val="24"/>
            <w:szCs w:val="24"/>
          </w:rPr>
          <w:fldChar w:fldCharType="separate"/>
        </w:r>
        <w:r w:rsidR="00653438">
          <w:rPr>
            <w:rFonts w:ascii="Times New Roman" w:hAnsi="Times New Roman" w:cs="Times New Roman"/>
            <w:noProof/>
            <w:sz w:val="24"/>
            <w:szCs w:val="24"/>
          </w:rPr>
          <w:t>4</w:t>
        </w:r>
        <w:r w:rsidR="000A2EB2" w:rsidRPr="000A2EB2">
          <w:rPr>
            <w:rFonts w:ascii="Times New Roman" w:hAnsi="Times New Roman" w:cs="Times New Roman"/>
            <w:noProof/>
            <w:sz w:val="24"/>
            <w:szCs w:val="24"/>
          </w:rPr>
          <w:fldChar w:fldCharType="end"/>
        </w:r>
      </w:sdtContent>
    </w:sdt>
  </w:p>
  <w:p w:rsidR="000A2EB2" w:rsidRPr="000A2EB2" w:rsidRDefault="000A2EB2" w:rsidP="000A2EB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2EB2" w:rsidRPr="000A2EB2" w:rsidRDefault="000A2EB2" w:rsidP="000A2EB2">
    <w:pPr>
      <w:pStyle w:val="Header"/>
      <w:jc w:val="right"/>
      <w:rPr>
        <w:rFonts w:ascii="Times New Roman" w:hAnsi="Times New Roman" w:cs="Times New Roman"/>
        <w:sz w:val="24"/>
        <w:szCs w:val="24"/>
      </w:rPr>
    </w:pPr>
    <w:r w:rsidRPr="000A2EB2">
      <w:rPr>
        <w:rFonts w:ascii="Times New Roman" w:hAnsi="Times New Roman" w:cs="Times New Roman"/>
        <w:sz w:val="24"/>
        <w:szCs w:val="24"/>
      </w:rPr>
      <w:t xml:space="preserve">Running head: </w:t>
    </w:r>
    <w:r w:rsidR="00EE1A0E">
      <w:rPr>
        <w:rFonts w:ascii="Times New Roman" w:hAnsi="Times New Roman" w:cs="Times New Roman"/>
        <w:sz w:val="24"/>
        <w:szCs w:val="24"/>
      </w:rPr>
      <w:t>BP</w:t>
    </w:r>
    <w:r w:rsidR="00EE1A0E" w:rsidRPr="00EE1A0E">
      <w:rPr>
        <w:rFonts w:ascii="Times New Roman" w:hAnsi="Times New Roman" w:cs="Times New Roman"/>
        <w:sz w:val="24"/>
        <w:szCs w:val="24"/>
      </w:rPr>
      <w:t xml:space="preserve"> CORPORATE CULTURE</w:t>
    </w:r>
    <w:r w:rsidR="00C10636">
      <w:tab/>
    </w:r>
    <w:r w:rsidR="00C10636" w:rsidRPr="000A2EB2">
      <w:rPr>
        <w:rFonts w:ascii="Times New Roman" w:hAnsi="Times New Roman" w:cs="Times New Roman"/>
        <w:sz w:val="24"/>
        <w:szCs w:val="24"/>
      </w:rPr>
      <w:tab/>
    </w:r>
    <w:sdt>
      <w:sdtPr>
        <w:rPr>
          <w:rFonts w:ascii="Times New Roman" w:hAnsi="Times New Roman" w:cs="Times New Roman"/>
          <w:sz w:val="24"/>
          <w:szCs w:val="24"/>
        </w:rPr>
        <w:id w:val="-667398539"/>
        <w:docPartObj>
          <w:docPartGallery w:val="Page Numbers (Top of Page)"/>
          <w:docPartUnique/>
        </w:docPartObj>
      </w:sdtPr>
      <w:sdtEndPr>
        <w:rPr>
          <w:noProof/>
        </w:rPr>
      </w:sdtEndPr>
      <w:sdtContent>
        <w:r w:rsidRPr="000A2EB2">
          <w:rPr>
            <w:rFonts w:ascii="Times New Roman" w:hAnsi="Times New Roman" w:cs="Times New Roman"/>
            <w:sz w:val="24"/>
            <w:szCs w:val="24"/>
          </w:rPr>
          <w:fldChar w:fldCharType="begin"/>
        </w:r>
        <w:r w:rsidRPr="000A2EB2">
          <w:rPr>
            <w:rFonts w:ascii="Times New Roman" w:hAnsi="Times New Roman" w:cs="Times New Roman"/>
            <w:sz w:val="24"/>
            <w:szCs w:val="24"/>
          </w:rPr>
          <w:instrText xml:space="preserve"> PAGE   \* MERGEFORMAT </w:instrText>
        </w:r>
        <w:r w:rsidRPr="000A2EB2">
          <w:rPr>
            <w:rFonts w:ascii="Times New Roman" w:hAnsi="Times New Roman" w:cs="Times New Roman"/>
            <w:sz w:val="24"/>
            <w:szCs w:val="24"/>
          </w:rPr>
          <w:fldChar w:fldCharType="separate"/>
        </w:r>
        <w:r w:rsidR="00653438">
          <w:rPr>
            <w:rFonts w:ascii="Times New Roman" w:hAnsi="Times New Roman" w:cs="Times New Roman"/>
            <w:noProof/>
            <w:sz w:val="24"/>
            <w:szCs w:val="24"/>
          </w:rPr>
          <w:t>1</w:t>
        </w:r>
        <w:r w:rsidRPr="000A2EB2">
          <w:rPr>
            <w:rFonts w:ascii="Times New Roman" w:hAnsi="Times New Roman" w:cs="Times New Roman"/>
            <w:noProof/>
            <w:sz w:val="24"/>
            <w:szCs w:val="24"/>
          </w:rPr>
          <w:fldChar w:fldCharType="end"/>
        </w:r>
      </w:sdtContent>
    </w:sdt>
  </w:p>
  <w:p w:rsidR="000A2EB2" w:rsidRDefault="000A2E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EE5"/>
    <w:rsid w:val="00021B7B"/>
    <w:rsid w:val="00042819"/>
    <w:rsid w:val="00056A50"/>
    <w:rsid w:val="000731FB"/>
    <w:rsid w:val="000739C6"/>
    <w:rsid w:val="00074037"/>
    <w:rsid w:val="00096C41"/>
    <w:rsid w:val="000A2EB2"/>
    <w:rsid w:val="000C5393"/>
    <w:rsid w:val="001030EC"/>
    <w:rsid w:val="00113F17"/>
    <w:rsid w:val="00117769"/>
    <w:rsid w:val="0014381F"/>
    <w:rsid w:val="00197D53"/>
    <w:rsid w:val="001B43CA"/>
    <w:rsid w:val="001C0FA8"/>
    <w:rsid w:val="001D23FA"/>
    <w:rsid w:val="001D50A2"/>
    <w:rsid w:val="002427CF"/>
    <w:rsid w:val="00243CE5"/>
    <w:rsid w:val="002818CC"/>
    <w:rsid w:val="002C156D"/>
    <w:rsid w:val="002E19AB"/>
    <w:rsid w:val="002E380D"/>
    <w:rsid w:val="002F141B"/>
    <w:rsid w:val="00322D05"/>
    <w:rsid w:val="00334D8B"/>
    <w:rsid w:val="00342EF8"/>
    <w:rsid w:val="00346E3B"/>
    <w:rsid w:val="00352ABF"/>
    <w:rsid w:val="00362205"/>
    <w:rsid w:val="003C5D60"/>
    <w:rsid w:val="003D62A2"/>
    <w:rsid w:val="003F25A5"/>
    <w:rsid w:val="003F57CE"/>
    <w:rsid w:val="004108A2"/>
    <w:rsid w:val="00420CA2"/>
    <w:rsid w:val="004269B9"/>
    <w:rsid w:val="00440520"/>
    <w:rsid w:val="00441CE7"/>
    <w:rsid w:val="00480069"/>
    <w:rsid w:val="004824A4"/>
    <w:rsid w:val="00491C3C"/>
    <w:rsid w:val="004954A5"/>
    <w:rsid w:val="0049749D"/>
    <w:rsid w:val="004A1E62"/>
    <w:rsid w:val="004F7B04"/>
    <w:rsid w:val="005157E6"/>
    <w:rsid w:val="00532751"/>
    <w:rsid w:val="00572EC0"/>
    <w:rsid w:val="0059198B"/>
    <w:rsid w:val="00594749"/>
    <w:rsid w:val="005A301C"/>
    <w:rsid w:val="005B4498"/>
    <w:rsid w:val="005D379D"/>
    <w:rsid w:val="005E0275"/>
    <w:rsid w:val="005E1058"/>
    <w:rsid w:val="0060111A"/>
    <w:rsid w:val="0060790E"/>
    <w:rsid w:val="00613F85"/>
    <w:rsid w:val="00626F73"/>
    <w:rsid w:val="00652484"/>
    <w:rsid w:val="00653438"/>
    <w:rsid w:val="006C20B6"/>
    <w:rsid w:val="006E6345"/>
    <w:rsid w:val="006F0355"/>
    <w:rsid w:val="00701FD5"/>
    <w:rsid w:val="00720478"/>
    <w:rsid w:val="00760EBC"/>
    <w:rsid w:val="00764936"/>
    <w:rsid w:val="00765053"/>
    <w:rsid w:val="007A6C43"/>
    <w:rsid w:val="007A6EE5"/>
    <w:rsid w:val="007B4622"/>
    <w:rsid w:val="007D674A"/>
    <w:rsid w:val="007F5110"/>
    <w:rsid w:val="008034D2"/>
    <w:rsid w:val="0084244A"/>
    <w:rsid w:val="008435BD"/>
    <w:rsid w:val="0086007C"/>
    <w:rsid w:val="00873121"/>
    <w:rsid w:val="00877200"/>
    <w:rsid w:val="008C1E6C"/>
    <w:rsid w:val="008F0C8F"/>
    <w:rsid w:val="00927ECE"/>
    <w:rsid w:val="009465C2"/>
    <w:rsid w:val="009A4CBB"/>
    <w:rsid w:val="009C2FF9"/>
    <w:rsid w:val="009E5484"/>
    <w:rsid w:val="009F6F44"/>
    <w:rsid w:val="00A21E5B"/>
    <w:rsid w:val="00A22152"/>
    <w:rsid w:val="00A25084"/>
    <w:rsid w:val="00A27F44"/>
    <w:rsid w:val="00A36DAA"/>
    <w:rsid w:val="00A40BA7"/>
    <w:rsid w:val="00A7246E"/>
    <w:rsid w:val="00A86225"/>
    <w:rsid w:val="00A87737"/>
    <w:rsid w:val="00A96F76"/>
    <w:rsid w:val="00AC015B"/>
    <w:rsid w:val="00AD633B"/>
    <w:rsid w:val="00AE243F"/>
    <w:rsid w:val="00B01586"/>
    <w:rsid w:val="00B165AC"/>
    <w:rsid w:val="00B241F8"/>
    <w:rsid w:val="00B33C18"/>
    <w:rsid w:val="00B45FB4"/>
    <w:rsid w:val="00B53D2E"/>
    <w:rsid w:val="00B85253"/>
    <w:rsid w:val="00B95748"/>
    <w:rsid w:val="00BA7354"/>
    <w:rsid w:val="00BB139B"/>
    <w:rsid w:val="00BB5CDA"/>
    <w:rsid w:val="00BC2E4F"/>
    <w:rsid w:val="00BD7BB5"/>
    <w:rsid w:val="00C10636"/>
    <w:rsid w:val="00C17948"/>
    <w:rsid w:val="00C27877"/>
    <w:rsid w:val="00C354CC"/>
    <w:rsid w:val="00C4609D"/>
    <w:rsid w:val="00C631B9"/>
    <w:rsid w:val="00C65AD1"/>
    <w:rsid w:val="00C76D4B"/>
    <w:rsid w:val="00C82094"/>
    <w:rsid w:val="00CA5F61"/>
    <w:rsid w:val="00CB212F"/>
    <w:rsid w:val="00CC4A8A"/>
    <w:rsid w:val="00CE1306"/>
    <w:rsid w:val="00CE25D9"/>
    <w:rsid w:val="00CE3A6C"/>
    <w:rsid w:val="00CE3BE2"/>
    <w:rsid w:val="00CF3CB6"/>
    <w:rsid w:val="00D370E3"/>
    <w:rsid w:val="00D432C4"/>
    <w:rsid w:val="00D5453A"/>
    <w:rsid w:val="00D561E4"/>
    <w:rsid w:val="00D668E5"/>
    <w:rsid w:val="00D80E0E"/>
    <w:rsid w:val="00D813DC"/>
    <w:rsid w:val="00D85B8D"/>
    <w:rsid w:val="00D936F4"/>
    <w:rsid w:val="00DA2D74"/>
    <w:rsid w:val="00DB4E50"/>
    <w:rsid w:val="00DC3ADA"/>
    <w:rsid w:val="00DC616D"/>
    <w:rsid w:val="00DD72A7"/>
    <w:rsid w:val="00E02199"/>
    <w:rsid w:val="00E116E7"/>
    <w:rsid w:val="00E55717"/>
    <w:rsid w:val="00E92573"/>
    <w:rsid w:val="00EA7FB6"/>
    <w:rsid w:val="00EE1A0E"/>
    <w:rsid w:val="00EE4921"/>
    <w:rsid w:val="00EE552F"/>
    <w:rsid w:val="00F05AD2"/>
    <w:rsid w:val="00F16BE6"/>
    <w:rsid w:val="00F86010"/>
    <w:rsid w:val="00FB3E65"/>
    <w:rsid w:val="00FB6A5F"/>
    <w:rsid w:val="00FC4D82"/>
    <w:rsid w:val="00FC64A0"/>
    <w:rsid w:val="00FE4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E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5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586"/>
  </w:style>
  <w:style w:type="paragraph" w:styleId="Footer">
    <w:name w:val="footer"/>
    <w:basedOn w:val="Normal"/>
    <w:link w:val="FooterChar"/>
    <w:uiPriority w:val="99"/>
    <w:unhideWhenUsed/>
    <w:rsid w:val="00B015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586"/>
  </w:style>
  <w:style w:type="character" w:styleId="Hyperlink">
    <w:name w:val="Hyperlink"/>
    <w:basedOn w:val="DefaultParagraphFont"/>
    <w:uiPriority w:val="99"/>
    <w:unhideWhenUsed/>
    <w:rsid w:val="00AC015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E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5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586"/>
  </w:style>
  <w:style w:type="paragraph" w:styleId="Footer">
    <w:name w:val="footer"/>
    <w:basedOn w:val="Normal"/>
    <w:link w:val="FooterChar"/>
    <w:uiPriority w:val="99"/>
    <w:unhideWhenUsed/>
    <w:rsid w:val="00B015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586"/>
  </w:style>
  <w:style w:type="character" w:styleId="Hyperlink">
    <w:name w:val="Hyperlink"/>
    <w:basedOn w:val="DefaultParagraphFont"/>
    <w:uiPriority w:val="99"/>
    <w:unhideWhenUsed/>
    <w:rsid w:val="00AC015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366</Words>
  <Characters>2088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2019-10-20T00:18:00Z</dcterms:created>
  <dcterms:modified xsi:type="dcterms:W3CDTF">2019-10-20T00:18:00Z</dcterms:modified>
</cp:coreProperties>
</file>