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BUS101–ASSIGNMENT WORKSHEETS</w:t>
      </w: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Name</w:t>
      </w: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Institution</w:t>
      </w: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Date</w:t>
      </w: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shd w:val="clear" w:color="auto" w:fill="FFFFFF"/>
        <w:autoSpaceDE w:val="0"/>
        <w:autoSpaceDN w:val="0"/>
        <w:adjustRightInd w:val="0"/>
        <w:spacing w:beforeAutospacing="0" w:afterAutospacing="0"/>
        <w:rPr>
          <w:rFonts w:ascii="Times New Roman" w:hAnsi="Times New Roman" w:cs="Times New Roman"/>
          <w:sz w:val="24"/>
          <w:szCs w:val="24"/>
        </w:rPr>
      </w:pPr>
    </w:p>
    <w:p w:rsidR="00E11D0D" w:rsidRDefault="00E11D0D" w:rsidP="00E11D0D">
      <w:pPr>
        <w:shd w:val="clear" w:color="auto" w:fill="FFFFFF"/>
        <w:autoSpaceDE w:val="0"/>
        <w:autoSpaceDN w:val="0"/>
        <w:adjustRightInd w:val="0"/>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lastRenderedPageBreak/>
        <w:t>Assignment #5</w:t>
      </w:r>
    </w:p>
    <w:p w:rsidR="00E11D0D" w:rsidRDefault="00E11D0D" w:rsidP="00E11D0D">
      <w:pPr>
        <w:shd w:val="clear" w:color="auto" w:fill="FFFFFF"/>
        <w:autoSpaceDE w:val="0"/>
        <w:autoSpaceDN w:val="0"/>
        <w:adjustRightInd w:val="0"/>
        <w:spacing w:beforeAutospacing="0" w:afterAutospacing="0"/>
        <w:jc w:val="center"/>
        <w:rPr>
          <w:rFonts w:ascii="Times New Roman" w:hAnsi="Times New Roman" w:cs="Times New Roman"/>
          <w:sz w:val="24"/>
          <w:szCs w:val="24"/>
        </w:rPr>
      </w:pPr>
      <w:r>
        <w:rPr>
          <w:rFonts w:ascii="Times New Roman" w:hAnsi="Times New Roman" w:cs="Times New Roman"/>
          <w:b/>
          <w:bCs/>
          <w:sz w:val="24"/>
          <w:szCs w:val="24"/>
        </w:rPr>
        <w:t>Debt to equity ratio</w:t>
      </w:r>
    </w:p>
    <w:p w:rsidR="00E11D0D" w:rsidRDefault="00E11D0D" w:rsidP="00E11D0D">
      <w:pPr>
        <w:numPr>
          <w:ilvl w:val="0"/>
          <w:numId w:val="1"/>
        </w:num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Formula: This ratio is computed by dividing the company’s total liabilities by its total equity, that is:</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u w:val="single"/>
        </w:rPr>
      </w:pPr>
      <w:r>
        <w:rPr>
          <w:rFonts w:ascii="Times New Roman" w:hAnsi="Times New Roman" w:cs="Times New Roman"/>
          <w:sz w:val="24"/>
          <w:szCs w:val="24"/>
        </w:rPr>
        <w:t xml:space="preserve">Debt to Equity Ratio </w:t>
      </w:r>
      <w:r>
        <w:rPr>
          <w:rFonts w:ascii="Times New Roman" w:hAnsi="Times New Roman" w:cs="Times New Roman"/>
          <w:noProof/>
          <w:sz w:val="24"/>
          <w:szCs w:val="24"/>
        </w:rPr>
        <w:drawing>
          <wp:inline distT="0" distB="0" distL="0" distR="0" wp14:anchorId="7C841DC8" wp14:editId="73778C32">
            <wp:extent cx="1095375" cy="351155"/>
            <wp:effectExtent l="0" t="0" r="9525" b="0"/>
            <wp:docPr id="13" name="Picture 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5375" cy="351155"/>
                    </a:xfrm>
                    <a:prstGeom prst="rect">
                      <a:avLst/>
                    </a:prstGeom>
                    <a:noFill/>
                    <a:ln>
                      <a:noFill/>
                    </a:ln>
                  </pic:spPr>
                </pic:pic>
              </a:graphicData>
            </a:graphic>
          </wp:inline>
        </w:drawing>
      </w:r>
    </w:p>
    <w:p w:rsidR="00E11D0D" w:rsidRDefault="00E11D0D" w:rsidP="00E11D0D">
      <w:pPr>
        <w:shd w:val="clear" w:color="auto" w:fill="FFFFFF"/>
        <w:autoSpaceDE w:val="0"/>
        <w:autoSpaceDN w:val="0"/>
        <w:adjustRightInd w:val="0"/>
        <w:spacing w:beforeAutospacing="0" w:afterAutospacing="0"/>
        <w:rPr>
          <w:rFonts w:ascii="Times New Roman" w:hAnsi="Times New Roman" w:cs="Times New Roman"/>
          <w:sz w:val="24"/>
          <w:szCs w:val="24"/>
        </w:rPr>
      </w:pP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highlight w:val="white"/>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highlight w:val="white"/>
        </w:rPr>
        <w:t>Where inputs come from</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highlight w:val="white"/>
        </w:rPr>
      </w:pPr>
      <w:r>
        <w:rPr>
          <w:rFonts w:ascii="Times New Roman" w:hAnsi="Times New Roman" w:cs="Times New Roman"/>
          <w:sz w:val="24"/>
          <w:szCs w:val="24"/>
          <w:highlight w:val="white"/>
        </w:rPr>
        <w:t>The liabilities of a company are reported in its balance sheet and so is equity</w:t>
      </w:r>
      <w:r>
        <w:rPr>
          <w:rFonts w:ascii="Times New Roman" w:hAnsi="Times New Roman" w:cs="Times New Roman"/>
          <w:color w:val="222222"/>
          <w:sz w:val="24"/>
          <w:szCs w:val="24"/>
          <w:highlight w:val="white"/>
        </w:rPr>
        <w:t xml:space="preserve"> (Allen N. 2017).</w:t>
      </w:r>
      <w:r>
        <w:rPr>
          <w:rFonts w:ascii="Times New Roman" w:hAnsi="Times New Roman" w:cs="Times New Roman"/>
          <w:sz w:val="24"/>
          <w:szCs w:val="24"/>
          <w:highlight w:val="white"/>
        </w:rPr>
        <w:t xml:space="preserve"> This makes the debt to equity ratio a balance sheet ratio. Therefore, its inputs come exclusively from the balance sheet. </w:t>
      </w:r>
    </w:p>
    <w:p w:rsidR="00E11D0D" w:rsidRDefault="00E11D0D" w:rsidP="00E11D0D">
      <w:pPr>
        <w:shd w:val="clear" w:color="auto" w:fill="FFFFFF"/>
        <w:autoSpaceDE w:val="0"/>
        <w:autoSpaceDN w:val="0"/>
        <w:adjustRightInd w:val="0"/>
        <w:spacing w:beforeAutospacing="0" w:afterAutospacing="0"/>
        <w:rPr>
          <w:rFonts w:ascii="Times New Roman" w:hAnsi="Times New Roman" w:cs="Times New Roman"/>
          <w:sz w:val="24"/>
          <w:szCs w:val="24"/>
          <w:highlight w:val="white"/>
        </w:rPr>
      </w:pP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highlight w:val="white"/>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highlight w:val="white"/>
        </w:rPr>
        <w:t xml:space="preserve">Debt to Equity ratio </w:t>
      </w:r>
    </w:p>
    <w:p w:rsidR="00E11D0D" w:rsidRDefault="00E11D0D" w:rsidP="00E11D0D">
      <w:pPr>
        <w:autoSpaceDE w:val="0"/>
        <w:autoSpaceDN w:val="0"/>
        <w:adjustRightInd w:val="0"/>
        <w:spacing w:before="0" w:beforeAutospacing="0" w:after="160" w:afterAutospacing="0" w:line="252" w:lineRule="auto"/>
        <w:ind w:left="720"/>
        <w:rPr>
          <w:rFonts w:ascii="Times New Roman" w:hAnsi="Times New Roman" w:cs="Times New Roman"/>
          <w:sz w:val="24"/>
          <w:szCs w:val="24"/>
          <w:highlight w:val="white"/>
        </w:rPr>
      </w:pP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highlight w:val="white"/>
        </w:rPr>
      </w:pPr>
      <w:r>
        <w:rPr>
          <w:rFonts w:ascii="Times New Roman" w:hAnsi="Times New Roman" w:cs="Times New Roman"/>
          <w:sz w:val="24"/>
          <w:szCs w:val="24"/>
          <w:highlight w:val="white"/>
        </w:rPr>
        <w:t>This is simply a company’s extent of debt financing. What credit funds are used in the company operations as compared to shareholder finances used on the same? It compares the company’s total debt to its total equity as indicated by the formula. It shows the portion of financing funds that the company gets from creditors (loans) and investors as well. In other words, it measures the company’s ability to fund operations using the investments of shareholders and not loaned funds. A higher debt to equity ratio scares off investors since the company is deemed to have debts from creditors, while a low debt to equity ratio indicates that the company is able to balance between credit investments and shares trading.</w:t>
      </w:r>
      <w:r>
        <w:rPr>
          <w:rFonts w:ascii="Times New Roman" w:hAnsi="Times New Roman" w:cs="Times New Roman"/>
          <w:sz w:val="24"/>
          <w:szCs w:val="24"/>
        </w:rPr>
        <w:t> </w:t>
      </w:r>
    </w:p>
    <w:p w:rsidR="00E11D0D" w:rsidRDefault="00E11D0D" w:rsidP="00E11D0D">
      <w:pPr>
        <w:autoSpaceDE w:val="0"/>
        <w:autoSpaceDN w:val="0"/>
        <w:adjustRightInd w:val="0"/>
        <w:spacing w:beforeAutospacing="0" w:afterAutospacing="0"/>
        <w:rPr>
          <w:rFonts w:ascii="Times New Roman" w:hAnsi="Times New Roman" w:cs="Times New Roman"/>
          <w:sz w:val="24"/>
          <w:szCs w:val="24"/>
          <w:highlight w:val="white"/>
        </w:rPr>
      </w:pP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A debt ration of less than half is considered favorable since shareholders’ finances are used to perform business operations much as opposed to loaned funds. In this way, investors will be attracted to increase their investments. Prospective investors as well be motivated to invest in such companies as the dividend share will be high as there are no much debts to settle. </w:t>
      </w:r>
    </w:p>
    <w:p w:rsidR="00E11D0D" w:rsidRDefault="00E11D0D" w:rsidP="00E11D0D">
      <w:pPr>
        <w:shd w:val="clear" w:color="auto" w:fill="FFFFFF"/>
        <w:autoSpaceDE w:val="0"/>
        <w:autoSpaceDN w:val="0"/>
        <w:adjustRightInd w:val="0"/>
        <w:spacing w:beforeAutospacing="0" w:afterAutospacing="0"/>
        <w:jc w:val="center"/>
        <w:rPr>
          <w:rFonts w:ascii="Times New Roman" w:hAnsi="Times New Roman" w:cs="Times New Roman"/>
          <w:sz w:val="24"/>
          <w:szCs w:val="24"/>
        </w:rPr>
      </w:pPr>
      <w:r>
        <w:rPr>
          <w:rFonts w:ascii="Times New Roman" w:hAnsi="Times New Roman" w:cs="Times New Roman"/>
          <w:b/>
          <w:bCs/>
          <w:sz w:val="24"/>
          <w:szCs w:val="24"/>
        </w:rPr>
        <w:t>Inventory turnover</w:t>
      </w:r>
    </w:p>
    <w:p w:rsidR="00E11D0D" w:rsidRDefault="00E11D0D" w:rsidP="00E11D0D">
      <w:pPr>
        <w:numPr>
          <w:ilvl w:val="0"/>
          <w:numId w:val="2"/>
        </w:num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Its formula – the inventory turnover ratio formula is given as;</w:t>
      </w:r>
    </w:p>
    <w:p w:rsidR="00E11D0D" w:rsidRDefault="00E11D0D" w:rsidP="00E11D0D">
      <w:pPr>
        <w:shd w:val="clear" w:color="auto" w:fill="FFFFFF"/>
        <w:autoSpaceDE w:val="0"/>
        <w:autoSpaceDN w:val="0"/>
        <w:adjustRightInd w:val="0"/>
        <w:spacing w:beforeAutospacing="0" w:afterAutospacing="0"/>
        <w:ind w:left="720"/>
        <w:rPr>
          <w:rFonts w:ascii="Times New Roman" w:hAnsi="Times New Roman" w:cs="Times New Roman"/>
          <w:sz w:val="24"/>
          <w:szCs w:val="24"/>
        </w:rPr>
      </w:pPr>
      <w:r>
        <w:rPr>
          <w:rFonts w:ascii="Times New Roman" w:hAnsi="Times New Roman" w:cs="Times New Roman"/>
          <w:sz w:val="24"/>
          <w:szCs w:val="24"/>
        </w:rPr>
        <w:t xml:space="preserve">Inventory turnover = </w:t>
      </w:r>
      <w:r>
        <w:rPr>
          <w:rFonts w:ascii="Times New Roman" w:hAnsi="Times New Roman" w:cs="Times New Roman"/>
          <w:noProof/>
          <w:sz w:val="24"/>
          <w:szCs w:val="24"/>
        </w:rPr>
        <w:drawing>
          <wp:inline distT="0" distB="0" distL="0" distR="0" wp14:anchorId="4C4A54D2" wp14:editId="5AA4E377">
            <wp:extent cx="1148080" cy="351155"/>
            <wp:effectExtent l="0" t="0" r="0" b="0"/>
            <wp:docPr id="12" name="Picture 1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8080" cy="351155"/>
                    </a:xfrm>
                    <a:prstGeom prst="rect">
                      <a:avLst/>
                    </a:prstGeom>
                    <a:noFill/>
                    <a:ln>
                      <a:noFill/>
                    </a:ln>
                  </pic:spPr>
                </pic:pic>
              </a:graphicData>
            </a:graphic>
          </wp:inline>
        </w:drawing>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Inventory Turnover Ratio = </w:t>
      </w:r>
      <w:r>
        <w:rPr>
          <w:rFonts w:ascii="Times New Roman" w:hAnsi="Times New Roman" w:cs="Times New Roman"/>
          <w:noProof/>
          <w:sz w:val="24"/>
          <w:szCs w:val="24"/>
        </w:rPr>
        <w:drawing>
          <wp:inline distT="0" distB="0" distL="0" distR="0" wp14:anchorId="02B72AA5" wp14:editId="47EBAA52">
            <wp:extent cx="42545" cy="191135"/>
            <wp:effectExtent l="0" t="0" r="0" b="0"/>
            <wp:docPr id="11" name="Picture 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545" cy="191135"/>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36F1F657" wp14:editId="7B843D52">
            <wp:extent cx="138430" cy="223520"/>
            <wp:effectExtent l="0" t="0" r="0" b="5080"/>
            <wp:docPr id="10"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430" cy="2235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noProof/>
          <w:sz w:val="24"/>
          <w:szCs w:val="24"/>
        </w:rPr>
        <w:drawing>
          <wp:inline distT="0" distB="0" distL="0" distR="0" wp14:anchorId="1B316B34" wp14:editId="51EA5978">
            <wp:extent cx="106045" cy="223520"/>
            <wp:effectExtent l="0" t="0" r="8255" b="5080"/>
            <wp:docPr id="9"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045" cy="223520"/>
                    </a:xfrm>
                    <a:prstGeom prst="rect">
                      <a:avLst/>
                    </a:prstGeom>
                    <a:noFill/>
                    <a:ln>
                      <a:noFill/>
                    </a:ln>
                  </pic:spPr>
                </pic:pic>
              </a:graphicData>
            </a:graphic>
          </wp:inline>
        </w:drawing>
      </w:r>
      <w:r>
        <w:rPr>
          <w:rFonts w:ascii="Times New Roman" w:hAnsi="Times New Roman" w:cs="Times New Roman"/>
          <w:sz w:val="24"/>
          <w:szCs w:val="24"/>
        </w:rPr>
        <w:t>s Average inventory</w:t>
      </w:r>
      <w:r>
        <w:rPr>
          <w:rFonts w:ascii="Times New Roman" w:hAnsi="Times New Roman" w:cs="Times New Roman"/>
          <w:noProof/>
          <w:sz w:val="24"/>
          <w:szCs w:val="24"/>
        </w:rPr>
        <w:drawing>
          <wp:inline distT="0" distB="0" distL="0" distR="0" wp14:anchorId="2677378C" wp14:editId="469ABF5D">
            <wp:extent cx="106045" cy="223520"/>
            <wp:effectExtent l="0" t="0" r="8255" b="5080"/>
            <wp:docPr id="8" name="Picture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045" cy="223520"/>
                    </a:xfrm>
                    <a:prstGeom prst="rect">
                      <a:avLst/>
                    </a:prstGeom>
                    <a:noFill/>
                    <a:ln>
                      <a:noFill/>
                    </a:ln>
                  </pic:spPr>
                </pic:pic>
              </a:graphicData>
            </a:graphic>
          </wp:inline>
        </w:drawing>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Average inventory is given by the sum if the beginning and ending inventory divided by two as shown; Average inventory = </w:t>
      </w:r>
      <w:r>
        <w:rPr>
          <w:rFonts w:ascii="Times New Roman" w:hAnsi="Times New Roman" w:cs="Times New Roman"/>
          <w:noProof/>
          <w:sz w:val="24"/>
          <w:szCs w:val="24"/>
        </w:rPr>
        <w:drawing>
          <wp:inline distT="0" distB="0" distL="0" distR="0" wp14:anchorId="39AC33E5" wp14:editId="1E4F9B41">
            <wp:extent cx="2360295" cy="318770"/>
            <wp:effectExtent l="0" t="0" r="1905" b="5080"/>
            <wp:docPr id="7" name="Picture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0295" cy="318770"/>
                    </a:xfrm>
                    <a:prstGeom prst="rect">
                      <a:avLst/>
                    </a:prstGeom>
                    <a:noFill/>
                    <a:ln>
                      <a:noFill/>
                    </a:ln>
                  </pic:spPr>
                </pic:pic>
              </a:graphicData>
            </a:graphic>
          </wp:inline>
        </w:drawing>
      </w: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Where the inputs come from;</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Cost of goods sold is reported on the income statement in the sales subsection as revenues are being calculated. </w:t>
      </w: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What it measures; </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The above is an efficiency ratio which compares the cost of goods sold to the average inventory within a stipulated period of time. In this way, it measures the number of times the company manages to sell off its average total inventory USD amount in a given accounting period, usually one year (</w:t>
      </w:r>
      <w:r>
        <w:rPr>
          <w:rFonts w:ascii="Times New Roman" w:hAnsi="Times New Roman" w:cs="Times New Roman"/>
          <w:color w:val="222222"/>
          <w:sz w:val="24"/>
          <w:szCs w:val="24"/>
          <w:highlight w:val="white"/>
        </w:rPr>
        <w:t>Allen N. 2017)</w:t>
      </w:r>
      <w:r>
        <w:rPr>
          <w:rFonts w:ascii="Times New Roman" w:hAnsi="Times New Roman" w:cs="Times New Roman"/>
          <w:sz w:val="24"/>
          <w:szCs w:val="24"/>
        </w:rPr>
        <w:t xml:space="preserve">. This ratio depends on two performance components, that is stock purchasing and sales. The quantity of stock purchased will determine the amounts to </w:t>
      </w:r>
      <w:r>
        <w:rPr>
          <w:rFonts w:ascii="Times New Roman" w:hAnsi="Times New Roman" w:cs="Times New Roman"/>
          <w:sz w:val="24"/>
          <w:szCs w:val="24"/>
        </w:rPr>
        <w:lastRenderedPageBreak/>
        <w:t>offer for sell, and what sales (quantities sold to customers) have to be made in tandem with inventory purchases (stock brought in). It evaluates performance – are purchases made sold during that period of time to avoid storage and other holding costs and are the sales corresponded to purchases so as to increase turnover?</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A high inventory turnover ratio is preferred and indicates that the company is making huge sales, maybe through discount offers. At the same time, inventory is being managed correctly (</w:t>
      </w:r>
      <w:r>
        <w:rPr>
          <w:rFonts w:ascii="Times New Roman" w:hAnsi="Times New Roman" w:cs="Times New Roman"/>
          <w:color w:val="222222"/>
          <w:sz w:val="24"/>
          <w:szCs w:val="24"/>
          <w:highlight w:val="white"/>
        </w:rPr>
        <w:t>Wahlen et al, 2014)</w:t>
      </w:r>
      <w:r>
        <w:rPr>
          <w:rFonts w:ascii="Times New Roman" w:hAnsi="Times New Roman" w:cs="Times New Roman"/>
          <w:sz w:val="24"/>
          <w:szCs w:val="24"/>
        </w:rPr>
        <w:t xml:space="preserve">. A low inventory turnover is despised since it means excess inventory and low sales, which is not healthy for a company. Every company seeks to maximize its profit and this is done when products are being sold, and in the right time – a favorable inventory turnover. </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This is a measure of how well your company is turning inventory or controlling merchandise. Meaning are you being efficient in your buying- outward cash expense, and doing well in your sales- incoming cash profit. So a turnover that is too low means your sales are lower than your inventory and you are overbuying, which is tying up money and increasing overhead and holding costs, or not buying enough or right items. Too high means you are spending too much money to keep buying over and over, or you are likely running out and losing sales. A good turnover should be a minimum of 12 in a year, or not keeping stock longer than 30 days, assuming not perishable. (Source- the mom ex Purchasing Directory of a 500 million company.) </w:t>
      </w:r>
    </w:p>
    <w:p w:rsidR="00E11D0D" w:rsidRDefault="00E11D0D" w:rsidP="00E11D0D">
      <w:pPr>
        <w:shd w:val="clear" w:color="auto" w:fill="FFFFFF"/>
        <w:autoSpaceDE w:val="0"/>
        <w:autoSpaceDN w:val="0"/>
        <w:adjustRightInd w:val="0"/>
        <w:spacing w:beforeAutospacing="0" w:afterAutospacing="0"/>
        <w:jc w:val="center"/>
        <w:rPr>
          <w:rFonts w:ascii="Times New Roman" w:hAnsi="Times New Roman" w:cs="Times New Roman"/>
          <w:sz w:val="24"/>
          <w:szCs w:val="24"/>
        </w:rPr>
      </w:pPr>
      <w:r>
        <w:rPr>
          <w:rFonts w:ascii="Times New Roman" w:hAnsi="Times New Roman" w:cs="Times New Roman"/>
          <w:b/>
          <w:bCs/>
          <w:sz w:val="24"/>
          <w:szCs w:val="24"/>
        </w:rPr>
        <w:t>Accounts receivable turnover</w:t>
      </w:r>
    </w:p>
    <w:p w:rsidR="00E11D0D" w:rsidRDefault="00E11D0D" w:rsidP="00E11D0D">
      <w:pPr>
        <w:numPr>
          <w:ilvl w:val="0"/>
          <w:numId w:val="3"/>
        </w:num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 xml:space="preserve">Its formula; </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In the calculation of the above ratio, some considerations are taken note of. These are; net credit sales are used alone and cash sales are left out since they are paid instantly and are not </w:t>
      </w:r>
      <w:r>
        <w:rPr>
          <w:rFonts w:ascii="Times New Roman" w:hAnsi="Times New Roman" w:cs="Times New Roman"/>
          <w:sz w:val="24"/>
          <w:szCs w:val="24"/>
        </w:rPr>
        <w:lastRenderedPageBreak/>
        <w:t>associated to any receivable, any sale returns and/or refunds are subtracted from the net credit sales prior to calculation, and any allowances offered are deducted from the average accounts receivable (</w:t>
      </w:r>
      <w:r>
        <w:rPr>
          <w:rFonts w:ascii="Times New Roman" w:hAnsi="Times New Roman" w:cs="Times New Roman"/>
          <w:color w:val="222222"/>
          <w:sz w:val="24"/>
          <w:szCs w:val="24"/>
          <w:highlight w:val="white"/>
        </w:rPr>
        <w:t>Allen N. 2017)</w:t>
      </w:r>
      <w:r>
        <w:rPr>
          <w:rFonts w:ascii="Times New Roman" w:hAnsi="Times New Roman" w:cs="Times New Roman"/>
          <w:sz w:val="24"/>
          <w:szCs w:val="24"/>
        </w:rPr>
        <w:t xml:space="preserve">. The formula is as shown; </w:t>
      </w:r>
    </w:p>
    <w:p w:rsidR="00E11D0D" w:rsidRDefault="00E11D0D" w:rsidP="00E11D0D">
      <w:pPr>
        <w:shd w:val="clear" w:color="auto" w:fill="FFFFFF"/>
        <w:autoSpaceDE w:val="0"/>
        <w:autoSpaceDN w:val="0"/>
        <w:adjustRightInd w:val="0"/>
        <w:spacing w:beforeAutospacing="0" w:afterAutospacing="0"/>
        <w:rPr>
          <w:rFonts w:ascii="Times New Roman" w:hAnsi="Times New Roman" w:cs="Times New Roman"/>
          <w:sz w:val="24"/>
          <w:szCs w:val="24"/>
        </w:rPr>
      </w:pPr>
      <w:r>
        <w:rPr>
          <w:rFonts w:ascii="Times New Roman" w:hAnsi="Times New Roman" w:cs="Times New Roman"/>
          <w:sz w:val="24"/>
          <w:szCs w:val="24"/>
        </w:rPr>
        <w:t xml:space="preserve">Accounts Receivable Turnover Ratio =  </w:t>
      </w:r>
      <w:r>
        <w:rPr>
          <w:rFonts w:ascii="Times New Roman" w:hAnsi="Times New Roman" w:cs="Times New Roman"/>
          <w:noProof/>
          <w:sz w:val="24"/>
          <w:szCs w:val="24"/>
        </w:rPr>
        <w:drawing>
          <wp:inline distT="0" distB="0" distL="0" distR="0" wp14:anchorId="6F03D5E4" wp14:editId="01317E66">
            <wp:extent cx="1828800" cy="351155"/>
            <wp:effectExtent l="0" t="0" r="0" b="0"/>
            <wp:docPr id="6"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351155"/>
                    </a:xfrm>
                    <a:prstGeom prst="rect">
                      <a:avLst/>
                    </a:prstGeom>
                    <a:noFill/>
                    <a:ln>
                      <a:noFill/>
                    </a:ln>
                  </pic:spPr>
                </pic:pic>
              </a:graphicData>
            </a:graphic>
          </wp:inline>
        </w:drawing>
      </w: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Where the inputs come from:</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Net credit sales are derived from the company’s income statement and the accounts receivable are reported on the assets side of the balance sheet. Any allowances offered, however, are reported in the income statement. This means that the final average accounts receivable computation is derived from the income statement. </w:t>
      </w: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What they measure</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As an efficiency ratio, the accounts receivable turnover ratio examines the company’s ability in time to convert its debtors into ready cash. It will measure the number of times the company business will receive payments from debtors (accounts receivable) on yearly basis. Every time that a debtors pays off a debt is referred to as a turn. So the number of turns that the company is able to receive in a year is what this ratio is all about. </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This ratio is an implication of how efficient the company is when it comes to collecting debts from credited customers. The lesser the time it takes, the much liquid the company becomes hence, it is also a liquidity ratio. </w:t>
      </w:r>
    </w:p>
    <w:p w:rsidR="00E11D0D" w:rsidRDefault="00E11D0D" w:rsidP="00E11D0D">
      <w:pPr>
        <w:shd w:val="clear" w:color="auto" w:fill="FFFFFF"/>
        <w:autoSpaceDE w:val="0"/>
        <w:autoSpaceDN w:val="0"/>
        <w:adjustRightInd w:val="0"/>
        <w:spacing w:beforeAutospacing="0" w:afterAutospacing="0"/>
        <w:jc w:val="center"/>
        <w:rPr>
          <w:rFonts w:ascii="Times New Roman" w:hAnsi="Times New Roman" w:cs="Times New Roman"/>
          <w:sz w:val="24"/>
          <w:szCs w:val="24"/>
        </w:rPr>
      </w:pPr>
    </w:p>
    <w:p w:rsidR="00E11D0D" w:rsidRDefault="00E11D0D" w:rsidP="00E11D0D">
      <w:pPr>
        <w:shd w:val="clear" w:color="auto" w:fill="FFFFFF"/>
        <w:autoSpaceDE w:val="0"/>
        <w:autoSpaceDN w:val="0"/>
        <w:adjustRightInd w:val="0"/>
        <w:spacing w:beforeAutospacing="0" w:afterAutospacing="0"/>
        <w:jc w:val="center"/>
        <w:rPr>
          <w:rFonts w:ascii="Times New Roman" w:hAnsi="Times New Roman" w:cs="Times New Roman"/>
          <w:sz w:val="24"/>
          <w:szCs w:val="24"/>
        </w:rPr>
      </w:pPr>
      <w:r>
        <w:rPr>
          <w:rFonts w:ascii="Times New Roman" w:hAnsi="Times New Roman" w:cs="Times New Roman"/>
          <w:b/>
          <w:bCs/>
          <w:sz w:val="24"/>
          <w:szCs w:val="24"/>
        </w:rPr>
        <w:t>Acid-test ratio</w:t>
      </w:r>
    </w:p>
    <w:p w:rsidR="00E11D0D" w:rsidRDefault="00E11D0D" w:rsidP="00E11D0D">
      <w:pPr>
        <w:numPr>
          <w:ilvl w:val="0"/>
          <w:numId w:val="4"/>
        </w:num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 xml:space="preserve">Its formula; </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ratio is calculated by adding all the liquid assets (cash, short-term investments, receivables of the current, cash equivalents) and then dividing the solution with current liabilities. I.e. </w:t>
      </w:r>
    </w:p>
    <w:p w:rsidR="00E11D0D" w:rsidRDefault="00E11D0D" w:rsidP="00E11D0D">
      <w:pPr>
        <w:shd w:val="clear" w:color="auto" w:fill="FFFFFF"/>
        <w:autoSpaceDE w:val="0"/>
        <w:autoSpaceDN w:val="0"/>
        <w:adjustRightInd w:val="0"/>
        <w:spacing w:beforeAutospacing="0" w:afterAutospacing="0"/>
        <w:rPr>
          <w:rFonts w:ascii="Times New Roman" w:hAnsi="Times New Roman" w:cs="Times New Roman"/>
          <w:sz w:val="24"/>
          <w:szCs w:val="24"/>
        </w:rPr>
      </w:pPr>
      <w:r>
        <w:rPr>
          <w:rFonts w:ascii="Times New Roman" w:hAnsi="Times New Roman" w:cs="Times New Roman"/>
          <w:sz w:val="24"/>
          <w:szCs w:val="24"/>
        </w:rPr>
        <w:tab/>
        <w:t xml:space="preserve">Acid-test ratio </w:t>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62CAB830" wp14:editId="1608FEEE">
            <wp:extent cx="1062990" cy="318770"/>
            <wp:effectExtent l="0" t="0" r="3810" b="5080"/>
            <wp:docPr id="5"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2990" cy="318770"/>
                    </a:xfrm>
                    <a:prstGeom prst="rect">
                      <a:avLst/>
                    </a:prstGeom>
                    <a:noFill/>
                    <a:ln>
                      <a:noFill/>
                    </a:ln>
                  </pic:spPr>
                </pic:pic>
              </a:graphicData>
            </a:graphic>
          </wp:inline>
        </w:drawing>
      </w: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Where the inputs come from:</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The liquid assets are singled out from the balance sheet in the current assets section. Current liabilities, too, come from the listings of liabilities reported in the balance sheet. (Only the balance sheet).</w:t>
      </w: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What it measures</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color w:val="000000"/>
          <w:sz w:val="24"/>
          <w:szCs w:val="24"/>
          <w:highlight w:val="white"/>
        </w:rPr>
      </w:pPr>
      <w:r>
        <w:rPr>
          <w:rFonts w:ascii="Times New Roman" w:hAnsi="Times New Roman" w:cs="Times New Roman"/>
          <w:sz w:val="24"/>
          <w:szCs w:val="24"/>
        </w:rPr>
        <w:t xml:space="preserve">This is a more definite ratio that measures the ability of a company to pay off its current liabilities using its liquid assets (those current assets that can be converted into ready cash within a period of zero to ninety days). </w:t>
      </w:r>
      <w:r>
        <w:rPr>
          <w:rFonts w:ascii="Times New Roman" w:hAnsi="Times New Roman" w:cs="Times New Roman"/>
          <w:color w:val="000000"/>
          <w:sz w:val="24"/>
          <w:szCs w:val="24"/>
          <w:highlight w:val="white"/>
        </w:rPr>
        <w:t xml:space="preserve">It solely concentrates on the liquid assets like cash and other marketable short-term securities. Also known as the quick ratio. </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color w:val="000000"/>
          <w:sz w:val="24"/>
          <w:szCs w:val="24"/>
          <w:highlight w:val="white"/>
        </w:rPr>
        <w:t xml:space="preserve">Acid-test ratio is an indication of how quick a company will turn its assets into ready cash and be able to pay off its current outside claims debts &amp; expenses. It shows the extent of quick assets in terms of current liabilities </w:t>
      </w:r>
      <w:r>
        <w:rPr>
          <w:rFonts w:ascii="Times New Roman" w:hAnsi="Times New Roman" w:cs="Times New Roman"/>
          <w:sz w:val="24"/>
          <w:szCs w:val="24"/>
        </w:rPr>
        <w:t>(</w:t>
      </w:r>
      <w:r>
        <w:rPr>
          <w:rFonts w:ascii="Times New Roman" w:hAnsi="Times New Roman" w:cs="Times New Roman"/>
          <w:color w:val="222222"/>
          <w:sz w:val="24"/>
          <w:szCs w:val="24"/>
          <w:highlight w:val="white"/>
        </w:rPr>
        <w:t>Wahlen et al., 2014)</w:t>
      </w:r>
      <w:r>
        <w:rPr>
          <w:rFonts w:ascii="Times New Roman" w:hAnsi="Times New Roman" w:cs="Times New Roman"/>
          <w:sz w:val="24"/>
          <w:szCs w:val="24"/>
        </w:rPr>
        <w:t xml:space="preserve">. </w:t>
      </w:r>
      <w:r>
        <w:rPr>
          <w:rFonts w:ascii="Times New Roman" w:hAnsi="Times New Roman" w:cs="Times New Roman"/>
          <w:color w:val="000000"/>
          <w:sz w:val="24"/>
          <w:szCs w:val="24"/>
          <w:highlight w:val="white"/>
        </w:rPr>
        <w:t xml:space="preserve"> A company with enough quick assets is able to settle off its short term obligations in good time and without any need of fund sources. A high quick ratio is preferred since investors are strongly convinced that the assets are more than the current liabilities and so investing in such a company, their investments will attract high dividends (profits). </w:t>
      </w:r>
    </w:p>
    <w:p w:rsidR="00E11D0D" w:rsidRDefault="00E11D0D" w:rsidP="00E11D0D">
      <w:pPr>
        <w:shd w:val="clear" w:color="auto" w:fill="FFFFFF"/>
        <w:autoSpaceDE w:val="0"/>
        <w:autoSpaceDN w:val="0"/>
        <w:adjustRightInd w:val="0"/>
        <w:spacing w:beforeAutospacing="0" w:afterAutospacing="0"/>
        <w:rPr>
          <w:rFonts w:ascii="Times New Roman" w:hAnsi="Times New Roman" w:cs="Times New Roman"/>
          <w:sz w:val="24"/>
          <w:szCs w:val="24"/>
        </w:rPr>
      </w:pPr>
      <w:r>
        <w:rPr>
          <w:rFonts w:ascii="Times New Roman" w:hAnsi="Times New Roman" w:cs="Times New Roman"/>
          <w:sz w:val="24"/>
          <w:szCs w:val="24"/>
        </w:rPr>
        <w:t> </w:t>
      </w:r>
    </w:p>
    <w:p w:rsidR="00E11D0D" w:rsidRDefault="00E11D0D" w:rsidP="00E11D0D">
      <w:pPr>
        <w:shd w:val="clear" w:color="auto" w:fill="FFFFFF"/>
        <w:autoSpaceDE w:val="0"/>
        <w:autoSpaceDN w:val="0"/>
        <w:adjustRightInd w:val="0"/>
        <w:spacing w:beforeAutospacing="0" w:afterAutospacing="0"/>
        <w:jc w:val="center"/>
        <w:rPr>
          <w:rFonts w:ascii="Times New Roman" w:hAnsi="Times New Roman" w:cs="Times New Roman"/>
          <w:sz w:val="24"/>
          <w:szCs w:val="24"/>
        </w:rPr>
      </w:pPr>
      <w:r>
        <w:rPr>
          <w:rFonts w:ascii="Times New Roman" w:hAnsi="Times New Roman" w:cs="Times New Roman"/>
          <w:b/>
          <w:bCs/>
          <w:sz w:val="24"/>
          <w:szCs w:val="24"/>
        </w:rPr>
        <w:lastRenderedPageBreak/>
        <w:t>Return on sales</w:t>
      </w:r>
    </w:p>
    <w:p w:rsidR="00E11D0D" w:rsidRDefault="00E11D0D" w:rsidP="00E11D0D">
      <w:pPr>
        <w:numPr>
          <w:ilvl w:val="0"/>
          <w:numId w:val="5"/>
        </w:num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Its formula</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It is computed by dividing the company’s operating profit by its net sales for a given accounting period as indicated by the formula; </w:t>
      </w:r>
    </w:p>
    <w:p w:rsidR="00E11D0D" w:rsidRDefault="00E11D0D" w:rsidP="00E11D0D">
      <w:pPr>
        <w:shd w:val="clear" w:color="auto" w:fill="FFFFFF"/>
        <w:autoSpaceDE w:val="0"/>
        <w:autoSpaceDN w:val="0"/>
        <w:adjustRightInd w:val="0"/>
        <w:spacing w:beforeAutospacing="0" w:afterAutospacing="0"/>
        <w:rPr>
          <w:rFonts w:ascii="Times New Roman" w:hAnsi="Times New Roman" w:cs="Times New Roman"/>
          <w:sz w:val="24"/>
          <w:szCs w:val="24"/>
        </w:rPr>
      </w:pPr>
      <w:r>
        <w:rPr>
          <w:rFonts w:ascii="Times New Roman" w:hAnsi="Times New Roman" w:cs="Times New Roman"/>
          <w:sz w:val="24"/>
          <w:szCs w:val="24"/>
        </w:rPr>
        <w:tab/>
        <w:t xml:space="preserve">Return on Sales = </w:t>
      </w:r>
      <w:r>
        <w:rPr>
          <w:rFonts w:ascii="Times New Roman" w:hAnsi="Times New Roman" w:cs="Times New Roman"/>
          <w:noProof/>
          <w:sz w:val="24"/>
          <w:szCs w:val="24"/>
        </w:rPr>
        <w:drawing>
          <wp:inline distT="0" distB="0" distL="0" distR="0" wp14:anchorId="7228A834" wp14:editId="1CC9D87E">
            <wp:extent cx="977900" cy="318770"/>
            <wp:effectExtent l="0" t="0" r="0" b="5080"/>
            <wp:docPr id="4"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7900" cy="318770"/>
                    </a:xfrm>
                    <a:prstGeom prst="rect">
                      <a:avLst/>
                    </a:prstGeom>
                    <a:noFill/>
                    <a:ln>
                      <a:noFill/>
                    </a:ln>
                  </pic:spPr>
                </pic:pic>
              </a:graphicData>
            </a:graphic>
          </wp:inline>
        </w:drawing>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Taxes, interest expenses and other non-operating expenses are not factored in this formula to allow stakeholders to understand whether the company’s core businesses are profitable or not. </w:t>
      </w: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Where the inputs come from</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Both the operating profit and net sales are derived from the income statement as they are basic components of the same. (Only the income statement). </w:t>
      </w: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What it measures</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Return on sales is basically the operating profit margin of the company. From the revenues of a company, profit is generated. The measure of how efficiently the company will make profits is called return on sales ratio (</w:t>
      </w:r>
      <w:r>
        <w:rPr>
          <w:rFonts w:ascii="Times New Roman" w:hAnsi="Times New Roman" w:cs="Times New Roman"/>
          <w:color w:val="222222"/>
          <w:sz w:val="24"/>
          <w:szCs w:val="24"/>
          <w:highlight w:val="white"/>
        </w:rPr>
        <w:t>Wahlen et al., 2014)</w:t>
      </w:r>
      <w:r>
        <w:rPr>
          <w:rFonts w:ascii="Times New Roman" w:hAnsi="Times New Roman" w:cs="Times New Roman"/>
          <w:sz w:val="24"/>
          <w:szCs w:val="24"/>
        </w:rPr>
        <w:t xml:space="preserve">. It is a performance efficiency ratio that shows the company’s amount of revenue turned into profit. </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Revenues are a product of quantity sold and the unit price. These revenue pays off the cost of production and attached expenses to reach the break-even point and go further up to make profits. The profits made from revenues at a given time is what this ratio measures. </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It is an important ratio that is used to gauge a company in the midst of others in the overall industry. The higher it is, the more efficient the company is and/or cutting expenses. </w:t>
      </w:r>
    </w:p>
    <w:p w:rsidR="00E11D0D" w:rsidRDefault="00E11D0D" w:rsidP="00E11D0D">
      <w:pPr>
        <w:shd w:val="clear" w:color="auto" w:fill="FFFFFF"/>
        <w:autoSpaceDE w:val="0"/>
        <w:autoSpaceDN w:val="0"/>
        <w:adjustRightInd w:val="0"/>
        <w:spacing w:beforeAutospacing="0" w:afterAutospacing="0"/>
        <w:jc w:val="center"/>
        <w:rPr>
          <w:rFonts w:ascii="Times New Roman" w:hAnsi="Times New Roman" w:cs="Times New Roman"/>
          <w:sz w:val="24"/>
          <w:szCs w:val="24"/>
        </w:rPr>
      </w:pPr>
      <w:r>
        <w:rPr>
          <w:rFonts w:ascii="Times New Roman" w:hAnsi="Times New Roman" w:cs="Times New Roman"/>
          <w:b/>
          <w:bCs/>
          <w:sz w:val="24"/>
          <w:szCs w:val="24"/>
        </w:rPr>
        <w:t>Return on equity</w:t>
      </w:r>
    </w:p>
    <w:p w:rsidR="00E11D0D" w:rsidRDefault="00E11D0D" w:rsidP="00E11D0D">
      <w:pPr>
        <w:numPr>
          <w:ilvl w:val="0"/>
          <w:numId w:val="6"/>
        </w:num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Its formula</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This is a profitability ratio that is calculated by computing the company’s net income and dividing it with the shareholder’s equity. </w:t>
      </w:r>
    </w:p>
    <w:p w:rsidR="00E11D0D" w:rsidRDefault="00E11D0D" w:rsidP="00E11D0D">
      <w:pPr>
        <w:shd w:val="clear" w:color="auto" w:fill="FFFFFF"/>
        <w:autoSpaceDE w:val="0"/>
        <w:autoSpaceDN w:val="0"/>
        <w:adjustRightInd w:val="0"/>
        <w:spacing w:beforeAutospacing="0" w:afterAutospacing="0"/>
        <w:rPr>
          <w:rFonts w:ascii="Times New Roman" w:hAnsi="Times New Roman" w:cs="Times New Roman"/>
          <w:sz w:val="24"/>
          <w:szCs w:val="24"/>
        </w:rPr>
      </w:pPr>
      <w:r>
        <w:rPr>
          <w:rFonts w:ascii="Times New Roman" w:hAnsi="Times New Roman" w:cs="Times New Roman"/>
          <w:sz w:val="24"/>
          <w:szCs w:val="24"/>
        </w:rPr>
        <w:t xml:space="preserve">Return on Equity =  </w:t>
      </w:r>
      <w:r>
        <w:rPr>
          <w:rFonts w:ascii="Times New Roman" w:hAnsi="Times New Roman" w:cs="Times New Roman"/>
          <w:noProof/>
          <w:sz w:val="24"/>
          <w:szCs w:val="24"/>
        </w:rPr>
        <w:drawing>
          <wp:inline distT="0" distB="0" distL="0" distR="0" wp14:anchorId="06830828" wp14:editId="6BDCAAB7">
            <wp:extent cx="1254760" cy="351155"/>
            <wp:effectExtent l="0" t="0" r="2540" b="0"/>
            <wp:docPr id="3"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54760" cy="351155"/>
                    </a:xfrm>
                    <a:prstGeom prst="rect">
                      <a:avLst/>
                    </a:prstGeom>
                    <a:noFill/>
                    <a:ln>
                      <a:noFill/>
                    </a:ln>
                  </pic:spPr>
                </pic:pic>
              </a:graphicData>
            </a:graphic>
          </wp:inline>
        </w:drawing>
      </w: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Where the inputs come from:</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Net income is a factor of the income statement and the shareholder’s equity is derived from the balance sheet. These input, therefore, come from both the balance sheet and the income statement. </w:t>
      </w: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What it measures</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When evaluating the profitability stand of companies, return on equity (ROE) ratio is usually a very vital determining factor. It gauges the ability of a company to make profits for the business using shareholder capital. It is related to the debt-equity ratio in that when equity finances the business operations, the company report an efficient ROE. The implication of this is that the company uses the investors’ capital for operations in order to make huge profits and be able to pay investors huge dividends. It measures the extent of generating income from the stakeholder’s capital. It also indicates how effective the company’s management is at optimizing productivity or returns from equity (</w:t>
      </w:r>
      <w:r>
        <w:rPr>
          <w:rFonts w:ascii="Times New Roman" w:hAnsi="Times New Roman" w:cs="Times New Roman"/>
          <w:color w:val="222222"/>
          <w:sz w:val="24"/>
          <w:szCs w:val="24"/>
          <w:highlight w:val="white"/>
        </w:rPr>
        <w:t>Wahlen et al., 2014)</w:t>
      </w:r>
      <w:r>
        <w:rPr>
          <w:rFonts w:ascii="Times New Roman" w:hAnsi="Times New Roman" w:cs="Times New Roman"/>
          <w:sz w:val="24"/>
          <w:szCs w:val="24"/>
        </w:rPr>
        <w:t>.  </w:t>
      </w:r>
    </w:p>
    <w:p w:rsidR="00E11D0D" w:rsidRDefault="00E11D0D" w:rsidP="00E11D0D">
      <w:pPr>
        <w:shd w:val="clear" w:color="auto" w:fill="FFFFFF"/>
        <w:autoSpaceDE w:val="0"/>
        <w:autoSpaceDN w:val="0"/>
        <w:adjustRightInd w:val="0"/>
        <w:spacing w:beforeAutospacing="0" w:afterAutospacing="0"/>
        <w:jc w:val="center"/>
        <w:rPr>
          <w:rFonts w:ascii="Times New Roman" w:hAnsi="Times New Roman" w:cs="Times New Roman"/>
          <w:sz w:val="24"/>
          <w:szCs w:val="24"/>
        </w:rPr>
      </w:pPr>
      <w:r>
        <w:rPr>
          <w:rFonts w:ascii="Times New Roman" w:hAnsi="Times New Roman" w:cs="Times New Roman"/>
          <w:b/>
          <w:bCs/>
          <w:sz w:val="24"/>
          <w:szCs w:val="24"/>
        </w:rPr>
        <w:t>Earnings per share</w:t>
      </w:r>
    </w:p>
    <w:p w:rsidR="00E11D0D" w:rsidRDefault="00E11D0D" w:rsidP="00E11D0D">
      <w:pPr>
        <w:numPr>
          <w:ilvl w:val="0"/>
          <w:numId w:val="7"/>
        </w:num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lastRenderedPageBreak/>
        <w:t>Its formula</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Subtracting preferred dividends from income (net) and then dividing the solution by weighted average common shares outstanding. </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EPS = </w:t>
      </w:r>
      <w:r>
        <w:rPr>
          <w:rFonts w:ascii="Times New Roman" w:hAnsi="Times New Roman" w:cs="Times New Roman"/>
          <w:noProof/>
          <w:sz w:val="24"/>
          <w:szCs w:val="24"/>
        </w:rPr>
        <w:drawing>
          <wp:inline distT="0" distB="0" distL="0" distR="0" wp14:anchorId="0B8E1390" wp14:editId="64913023">
            <wp:extent cx="2839085" cy="351155"/>
            <wp:effectExtent l="0" t="0" r="0" b="0"/>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39085" cy="351155"/>
                    </a:xfrm>
                    <a:prstGeom prst="rect">
                      <a:avLst/>
                    </a:prstGeom>
                    <a:noFill/>
                    <a:ln>
                      <a:noFill/>
                    </a:ln>
                  </pic:spPr>
                </pic:pic>
              </a:graphicData>
            </a:graphic>
          </wp:inline>
        </w:drawing>
      </w: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Where the inputs come from:</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The variable inputs from this ratio are derived from the income statement only. </w:t>
      </w: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What it measures</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Earnings per share (EPS) is also referred to as net income per share. It gauges net income amount in the shares of stock outstanding. The profitability of a company in terms of shareholders is measured by this ratio. The number of outstanding shares that a company has is a major determinant (</w:t>
      </w:r>
      <w:r>
        <w:rPr>
          <w:rFonts w:ascii="Times New Roman" w:hAnsi="Times New Roman" w:cs="Times New Roman"/>
          <w:color w:val="222222"/>
          <w:sz w:val="24"/>
          <w:szCs w:val="24"/>
          <w:highlight w:val="white"/>
        </w:rPr>
        <w:t>Wahlen et al., 2014)</w:t>
      </w:r>
      <w:r>
        <w:rPr>
          <w:rFonts w:ascii="Times New Roman" w:hAnsi="Times New Roman" w:cs="Times New Roman"/>
          <w:sz w:val="24"/>
          <w:szCs w:val="24"/>
        </w:rPr>
        <w:t>.  </w:t>
      </w:r>
    </w:p>
    <w:p w:rsidR="00E11D0D" w:rsidRDefault="00E11D0D" w:rsidP="00E11D0D">
      <w:pPr>
        <w:shd w:val="clear" w:color="auto" w:fill="FFFFFF"/>
        <w:autoSpaceDE w:val="0"/>
        <w:autoSpaceDN w:val="0"/>
        <w:adjustRightInd w:val="0"/>
        <w:spacing w:beforeAutospacing="0" w:afterAutospacing="0"/>
        <w:jc w:val="center"/>
        <w:rPr>
          <w:rFonts w:ascii="Times New Roman" w:hAnsi="Times New Roman" w:cs="Times New Roman"/>
          <w:sz w:val="24"/>
          <w:szCs w:val="24"/>
        </w:rPr>
      </w:pPr>
      <w:r>
        <w:rPr>
          <w:rFonts w:ascii="Times New Roman" w:hAnsi="Times New Roman" w:cs="Times New Roman"/>
          <w:b/>
          <w:bCs/>
          <w:sz w:val="24"/>
          <w:szCs w:val="24"/>
        </w:rPr>
        <w:t>Current ratio</w:t>
      </w:r>
    </w:p>
    <w:p w:rsidR="00E11D0D" w:rsidRDefault="00E11D0D" w:rsidP="00E11D0D">
      <w:pPr>
        <w:numPr>
          <w:ilvl w:val="0"/>
          <w:numId w:val="8"/>
        </w:num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Its formula</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Current Ratio = </w:t>
      </w:r>
      <w:r>
        <w:rPr>
          <w:rFonts w:ascii="Times New Roman" w:hAnsi="Times New Roman" w:cs="Times New Roman"/>
          <w:noProof/>
          <w:sz w:val="24"/>
          <w:szCs w:val="24"/>
        </w:rPr>
        <w:drawing>
          <wp:inline distT="0" distB="0" distL="0" distR="0" wp14:anchorId="30F08ABA" wp14:editId="1706DD83">
            <wp:extent cx="1116330" cy="318770"/>
            <wp:effectExtent l="0" t="0" r="7620" b="5080"/>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16330" cy="318770"/>
                    </a:xfrm>
                    <a:prstGeom prst="rect">
                      <a:avLst/>
                    </a:prstGeom>
                    <a:noFill/>
                    <a:ln>
                      <a:noFill/>
                    </a:ln>
                  </pic:spPr>
                </pic:pic>
              </a:graphicData>
            </a:graphic>
          </wp:inline>
        </w:drawing>
      </w:r>
    </w:p>
    <w:p w:rsidR="00E11D0D" w:rsidRDefault="00E11D0D" w:rsidP="00E11D0D">
      <w:pPr>
        <w:shd w:val="clear" w:color="auto" w:fill="FFFFFF"/>
        <w:autoSpaceDE w:val="0"/>
        <w:autoSpaceDN w:val="0"/>
        <w:adjustRightInd w:val="0"/>
        <w:spacing w:beforeAutospacing="0" w:afterAutospacing="0"/>
        <w:ind w:hanging="36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Where the inputs come from:</w:t>
      </w:r>
    </w:p>
    <w:p w:rsidR="00E11D0D" w:rsidRDefault="00E11D0D" w:rsidP="00E11D0D">
      <w:pPr>
        <w:shd w:val="clear" w:color="auto" w:fill="FFFFFF"/>
        <w:autoSpaceDE w:val="0"/>
        <w:autoSpaceDN w:val="0"/>
        <w:adjustRightInd w:val="0"/>
        <w:spacing w:beforeAutospacing="0" w:afterAutospacing="0"/>
        <w:ind w:firstLine="720"/>
        <w:rPr>
          <w:rFonts w:ascii="Times New Roman" w:hAnsi="Times New Roman" w:cs="Times New Roman"/>
          <w:sz w:val="24"/>
          <w:szCs w:val="24"/>
        </w:rPr>
      </w:pPr>
      <w:r>
        <w:rPr>
          <w:rFonts w:ascii="Times New Roman" w:hAnsi="Times New Roman" w:cs="Times New Roman"/>
          <w:sz w:val="24"/>
          <w:szCs w:val="24"/>
        </w:rPr>
        <w:t xml:space="preserve">Current assets and current liabilities are major categorizations of the balance sheet. The variables are directly drawn straight from the balance sheet only. </w:t>
      </w:r>
    </w:p>
    <w:p w:rsidR="00E11D0D" w:rsidRDefault="00E11D0D" w:rsidP="00E11D0D">
      <w:pPr>
        <w:shd w:val="clear" w:color="auto" w:fill="FFFFFF"/>
        <w:autoSpaceDE w:val="0"/>
        <w:autoSpaceDN w:val="0"/>
        <w:adjustRightInd w:val="0"/>
        <w:spacing w:beforeAutospacing="0" w:afterAutospacing="0"/>
        <w:rPr>
          <w:rFonts w:ascii="Times New Roman" w:hAnsi="Times New Roman" w:cs="Times New Roman"/>
          <w:sz w:val="24"/>
          <w:szCs w:val="24"/>
        </w:rPr>
      </w:pPr>
      <w:r>
        <w:rPr>
          <w:rFonts w:ascii="Times New Roman" w:hAnsi="Times New Roman" w:cs="Times New Roman"/>
          <w:sz w:val="24"/>
          <w:szCs w:val="24"/>
        </w:rPr>
        <w:t>3. What it measures</w:t>
      </w:r>
    </w:p>
    <w:p w:rsidR="00E11D0D" w:rsidRDefault="00E11D0D" w:rsidP="00E11D0D">
      <w:pPr>
        <w:autoSpaceDE w:val="0"/>
        <w:autoSpaceDN w:val="0"/>
        <w:adjustRightInd w:val="0"/>
        <w:spacing w:beforeAutospacing="0" w:afterAutospacing="0"/>
        <w:ind w:firstLine="720"/>
        <w:rPr>
          <w:rFonts w:ascii="Times New Roman" w:hAnsi="Times New Roman" w:cs="Times New Roman"/>
          <w:color w:val="000000"/>
          <w:sz w:val="24"/>
          <w:szCs w:val="24"/>
          <w:highlight w:val="white"/>
        </w:rPr>
      </w:pPr>
      <w:r>
        <w:rPr>
          <w:rFonts w:ascii="Times New Roman" w:hAnsi="Times New Roman" w:cs="Times New Roman"/>
          <w:color w:val="000000"/>
          <w:sz w:val="24"/>
          <w:szCs w:val="24"/>
          <w:highlight w:val="white"/>
        </w:rPr>
        <w:lastRenderedPageBreak/>
        <w:t>The current ratio is both an efficiency and a liquidity ratio that measures the relationship between the current assets and the current liabilities. It simply evaluates whether the company is in a position to pay off its current liabilities using its current assets (</w:t>
      </w:r>
      <w:r>
        <w:rPr>
          <w:rFonts w:ascii="Times New Roman" w:hAnsi="Times New Roman" w:cs="Times New Roman"/>
          <w:color w:val="222222"/>
          <w:sz w:val="24"/>
          <w:szCs w:val="24"/>
          <w:highlight w:val="white"/>
        </w:rPr>
        <w:t>Allen N. 2017)</w:t>
      </w:r>
      <w:r>
        <w:rPr>
          <w:rFonts w:ascii="Times New Roman" w:hAnsi="Times New Roman" w:cs="Times New Roman"/>
          <w:color w:val="000000"/>
          <w:sz w:val="24"/>
          <w:szCs w:val="24"/>
          <w:highlight w:val="white"/>
        </w:rPr>
        <w:t xml:space="preserve">. </w:t>
      </w:r>
    </w:p>
    <w:p w:rsidR="00E11D0D" w:rsidRDefault="00E11D0D" w:rsidP="00E11D0D">
      <w:pPr>
        <w:autoSpaceDE w:val="0"/>
        <w:autoSpaceDN w:val="0"/>
        <w:adjustRightInd w:val="0"/>
        <w:spacing w:beforeAutospacing="0" w:afterAutospacing="0"/>
        <w:ind w:firstLine="720"/>
        <w:rPr>
          <w:rFonts w:ascii="Times New Roman" w:hAnsi="Times New Roman" w:cs="Times New Roman"/>
          <w:color w:val="000000"/>
          <w:sz w:val="24"/>
          <w:szCs w:val="24"/>
          <w:highlight w:val="white"/>
        </w:rPr>
      </w:pPr>
      <w:r>
        <w:rPr>
          <w:rFonts w:ascii="Times New Roman" w:hAnsi="Times New Roman" w:cs="Times New Roman"/>
          <w:color w:val="000000"/>
          <w:sz w:val="24"/>
          <w:szCs w:val="24"/>
          <w:highlight w:val="white"/>
        </w:rPr>
        <w:t>This ratio is very the determination of an investment company. It measure both liquidity and efficiency. This ratio depends on company size. This means that the value of a company’s current assets, in most cases is correspondent to the liabilities to the company has.</w:t>
      </w:r>
    </w:p>
    <w:p w:rsidR="00E11D0D" w:rsidRDefault="00E11D0D" w:rsidP="00E11D0D">
      <w:pPr>
        <w:autoSpaceDE w:val="0"/>
        <w:autoSpaceDN w:val="0"/>
        <w:adjustRightInd w:val="0"/>
        <w:spacing w:beforeAutospacing="0" w:afterAutospacing="0"/>
        <w:ind w:firstLine="720"/>
        <w:rPr>
          <w:rFonts w:ascii="Times New Roman" w:hAnsi="Times New Roman" w:cs="Times New Roman"/>
          <w:color w:val="000000"/>
          <w:sz w:val="24"/>
          <w:szCs w:val="24"/>
          <w:highlight w:val="white"/>
        </w:rPr>
      </w:pPr>
      <w:r>
        <w:rPr>
          <w:rFonts w:ascii="Times New Roman" w:hAnsi="Times New Roman" w:cs="Times New Roman"/>
          <w:color w:val="000000"/>
          <w:sz w:val="24"/>
          <w:szCs w:val="24"/>
          <w:highlight w:val="white"/>
        </w:rPr>
        <w:t xml:space="preserve">A high current ratio means that the company is stable since it is able to settle off current liabilities. </w:t>
      </w: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p>
    <w:p w:rsidR="00E11D0D" w:rsidRDefault="00E11D0D" w:rsidP="00E11D0D">
      <w:pPr>
        <w:autoSpaceDE w:val="0"/>
        <w:autoSpaceDN w:val="0"/>
        <w:adjustRightInd w:val="0"/>
        <w:spacing w:beforeAutospacing="0" w:afterAutospacing="0"/>
        <w:jc w:val="center"/>
        <w:rPr>
          <w:rFonts w:ascii="Times New Roman" w:hAnsi="Times New Roman" w:cs="Times New Roman"/>
          <w:color w:val="000000"/>
          <w:sz w:val="24"/>
          <w:szCs w:val="24"/>
          <w:highlight w:val="white"/>
        </w:rPr>
      </w:pPr>
      <w:r>
        <w:rPr>
          <w:rFonts w:ascii="Times New Roman" w:hAnsi="Times New Roman" w:cs="Times New Roman"/>
          <w:color w:val="000000"/>
          <w:sz w:val="24"/>
          <w:szCs w:val="24"/>
          <w:highlight w:val="white"/>
        </w:rPr>
        <w:t>References</w:t>
      </w:r>
    </w:p>
    <w:p w:rsidR="00E11D0D" w:rsidRDefault="00E11D0D" w:rsidP="00E11D0D">
      <w:pPr>
        <w:autoSpaceDE w:val="0"/>
        <w:autoSpaceDN w:val="0"/>
        <w:adjustRightInd w:val="0"/>
        <w:spacing w:beforeAutospacing="0" w:afterAutospacing="0"/>
        <w:ind w:left="720" w:hanging="720"/>
        <w:rPr>
          <w:rFonts w:ascii="Times New Roman" w:hAnsi="Times New Roman" w:cs="Times New Roman"/>
          <w:color w:val="000000"/>
          <w:sz w:val="24"/>
          <w:szCs w:val="24"/>
          <w:highlight w:val="white"/>
        </w:rPr>
      </w:pPr>
      <w:r>
        <w:rPr>
          <w:rFonts w:ascii="Times New Roman" w:hAnsi="Times New Roman" w:cs="Times New Roman"/>
          <w:color w:val="222222"/>
          <w:sz w:val="24"/>
          <w:szCs w:val="24"/>
          <w:highlight w:val="white"/>
        </w:rPr>
        <w:t>Allen, N. (2017). Nicole Allen, Director of Open Education at SPARC.</w:t>
      </w:r>
    </w:p>
    <w:p w:rsidR="00E11D0D" w:rsidRDefault="00E11D0D" w:rsidP="00E11D0D">
      <w:pPr>
        <w:autoSpaceDE w:val="0"/>
        <w:autoSpaceDN w:val="0"/>
        <w:adjustRightInd w:val="0"/>
        <w:spacing w:beforeAutospacing="0" w:afterAutospacing="0"/>
        <w:ind w:left="720" w:hanging="720"/>
        <w:rPr>
          <w:rFonts w:ascii="Times New Roman" w:hAnsi="Times New Roman" w:cs="Times New Roman"/>
          <w:color w:val="222222"/>
          <w:sz w:val="24"/>
          <w:szCs w:val="24"/>
          <w:highlight w:val="white"/>
        </w:rPr>
      </w:pPr>
      <w:r>
        <w:rPr>
          <w:rFonts w:ascii="Times New Roman" w:hAnsi="Times New Roman" w:cs="Times New Roman"/>
          <w:color w:val="222222"/>
          <w:sz w:val="24"/>
          <w:szCs w:val="24"/>
          <w:highlight w:val="white"/>
        </w:rPr>
        <w:t>Kenett, D. Y., Huang, X., Vodenska, I., Havlin, S., &amp; Stanley, H. E. (2015). Partial correlation analysis: Applications for financial markets. </w:t>
      </w:r>
      <w:r>
        <w:rPr>
          <w:rFonts w:ascii="Times New Roman" w:hAnsi="Times New Roman" w:cs="Times New Roman"/>
          <w:i/>
          <w:iCs/>
          <w:color w:val="222222"/>
          <w:sz w:val="24"/>
          <w:szCs w:val="24"/>
          <w:highlight w:val="white"/>
        </w:rPr>
        <w:t>Quantitative Finance</w:t>
      </w:r>
      <w:r>
        <w:rPr>
          <w:rFonts w:ascii="Times New Roman" w:hAnsi="Times New Roman" w:cs="Times New Roman"/>
          <w:color w:val="222222"/>
          <w:sz w:val="24"/>
          <w:szCs w:val="24"/>
          <w:highlight w:val="white"/>
        </w:rPr>
        <w:t>, </w:t>
      </w:r>
      <w:r>
        <w:rPr>
          <w:rFonts w:ascii="Times New Roman" w:hAnsi="Times New Roman" w:cs="Times New Roman"/>
          <w:i/>
          <w:iCs/>
          <w:color w:val="222222"/>
          <w:sz w:val="24"/>
          <w:szCs w:val="24"/>
          <w:highlight w:val="white"/>
        </w:rPr>
        <w:t>15</w:t>
      </w:r>
      <w:r>
        <w:rPr>
          <w:rFonts w:ascii="Times New Roman" w:hAnsi="Times New Roman" w:cs="Times New Roman"/>
          <w:color w:val="222222"/>
          <w:sz w:val="24"/>
          <w:szCs w:val="24"/>
          <w:highlight w:val="white"/>
        </w:rPr>
        <w:t>(4), 569-578.</w:t>
      </w:r>
    </w:p>
    <w:p w:rsidR="00E11D0D" w:rsidRDefault="00E11D0D" w:rsidP="00E11D0D">
      <w:pPr>
        <w:autoSpaceDE w:val="0"/>
        <w:autoSpaceDN w:val="0"/>
        <w:adjustRightInd w:val="0"/>
        <w:spacing w:beforeAutospacing="0" w:afterAutospacing="0"/>
        <w:ind w:left="720" w:hanging="720"/>
        <w:rPr>
          <w:rFonts w:ascii="Times New Roman" w:hAnsi="Times New Roman" w:cs="Times New Roman"/>
          <w:color w:val="222222"/>
          <w:sz w:val="24"/>
          <w:szCs w:val="24"/>
          <w:highlight w:val="white"/>
        </w:rPr>
      </w:pPr>
      <w:r>
        <w:rPr>
          <w:rFonts w:ascii="Times New Roman" w:hAnsi="Times New Roman" w:cs="Times New Roman"/>
          <w:color w:val="222222"/>
          <w:sz w:val="24"/>
          <w:szCs w:val="24"/>
          <w:highlight w:val="white"/>
        </w:rPr>
        <w:t xml:space="preserve">My Accounting Course. Retrieved from </w:t>
      </w:r>
      <w:hyperlink r:id="rId17" w:history="1">
        <w:r>
          <w:rPr>
            <w:rFonts w:ascii="Times New Roman" w:hAnsi="Times New Roman" w:cs="Times New Roman"/>
            <w:color w:val="222222"/>
            <w:sz w:val="24"/>
            <w:szCs w:val="24"/>
            <w:highlight w:val="white"/>
          </w:rPr>
          <w:t>https://www.myaccountingcourse.com/financial-ratios/</w:t>
        </w:r>
      </w:hyperlink>
    </w:p>
    <w:p w:rsidR="00E11D0D" w:rsidRDefault="00E11D0D" w:rsidP="00E11D0D">
      <w:pPr>
        <w:autoSpaceDE w:val="0"/>
        <w:autoSpaceDN w:val="0"/>
        <w:adjustRightInd w:val="0"/>
        <w:spacing w:beforeAutospacing="0" w:afterAutospacing="0"/>
        <w:ind w:left="720" w:hanging="720"/>
        <w:rPr>
          <w:rFonts w:ascii="Times New Roman" w:hAnsi="Times New Roman" w:cs="Times New Roman"/>
          <w:color w:val="222222"/>
          <w:sz w:val="24"/>
          <w:szCs w:val="24"/>
          <w:highlight w:val="white"/>
        </w:rPr>
      </w:pPr>
      <w:r>
        <w:rPr>
          <w:rFonts w:ascii="Times New Roman" w:hAnsi="Times New Roman" w:cs="Times New Roman"/>
          <w:color w:val="222222"/>
          <w:sz w:val="24"/>
          <w:szCs w:val="24"/>
          <w:highlight w:val="white"/>
        </w:rPr>
        <w:t>Wahlen, J., Baginski, S., &amp; Bradshaw, M. (2014). </w:t>
      </w:r>
      <w:r>
        <w:rPr>
          <w:rFonts w:ascii="Times New Roman" w:hAnsi="Times New Roman" w:cs="Times New Roman"/>
          <w:i/>
          <w:iCs/>
          <w:color w:val="222222"/>
          <w:sz w:val="24"/>
          <w:szCs w:val="24"/>
          <w:highlight w:val="white"/>
        </w:rPr>
        <w:t>Financial reporting, financial statement analysis and valuation</w:t>
      </w:r>
      <w:r>
        <w:rPr>
          <w:rFonts w:ascii="Times New Roman" w:hAnsi="Times New Roman" w:cs="Times New Roman"/>
          <w:color w:val="222222"/>
          <w:sz w:val="24"/>
          <w:szCs w:val="24"/>
          <w:highlight w:val="white"/>
        </w:rPr>
        <w:t>. Nelson Education.</w:t>
      </w:r>
    </w:p>
    <w:p w:rsidR="00E11D0D" w:rsidRDefault="00E11D0D" w:rsidP="00E11D0D">
      <w:pPr>
        <w:autoSpaceDE w:val="0"/>
        <w:autoSpaceDN w:val="0"/>
        <w:adjustRightInd w:val="0"/>
        <w:spacing w:beforeAutospacing="0" w:afterAutospacing="0"/>
        <w:rPr>
          <w:rFonts w:ascii="Times New Roman" w:hAnsi="Times New Roman" w:cs="Times New Roman"/>
          <w:sz w:val="24"/>
          <w:szCs w:val="24"/>
        </w:rPr>
      </w:pPr>
    </w:p>
    <w:p w:rsidR="00E11D0D" w:rsidRDefault="00E11D0D" w:rsidP="00E11D0D">
      <w:pPr>
        <w:autoSpaceDE w:val="0"/>
        <w:autoSpaceDN w:val="0"/>
        <w:adjustRightInd w:val="0"/>
        <w:spacing w:before="0" w:beforeAutospacing="0" w:after="200" w:afterAutospacing="0" w:line="276" w:lineRule="auto"/>
        <w:rPr>
          <w:rFonts w:ascii="Calibri" w:hAnsi="Calibri" w:cs="Calibri"/>
          <w:lang w:val="en"/>
        </w:rPr>
      </w:pPr>
      <w:r>
        <w:rPr>
          <w:rFonts w:ascii="Times New Roman" w:hAnsi="Times New Roman" w:cs="Times New Roman"/>
          <w:sz w:val="24"/>
          <w:szCs w:val="24"/>
        </w:rPr>
        <w:t xml:space="preserve"> </w:t>
      </w:r>
    </w:p>
    <w:p w:rsidR="00E11D0D" w:rsidRDefault="00E11D0D" w:rsidP="00E11D0D"/>
    <w:p w:rsidR="009F04BE" w:rsidRDefault="00E11D0D">
      <w:bookmarkStart w:id="0" w:name="_GoBack"/>
      <w:bookmarkEnd w:id="0"/>
    </w:p>
    <w:sectPr w:rsidR="009F04BE" w:rsidSect="00A00BA7">
      <w:headerReference w:type="default" r:id="rId18"/>
      <w:headerReference w:type="first" r:id="rId19"/>
      <w:pgSz w:w="12240" w:h="15840"/>
      <w:pgMar w:top="1440" w:right="1440" w:bottom="1440" w:left="1440" w:header="720" w:footer="720" w:gutter="0"/>
      <w:cols w:space="720"/>
      <w:noEndnote/>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C71" w:rsidRDefault="00E11D0D" w:rsidP="00A00BA7">
    <w:pPr>
      <w:pStyle w:val="Header"/>
    </w:pPr>
    <w:r>
      <w:rPr>
        <w:rFonts w:ascii="Times New Roman" w:hAnsi="Times New Roman" w:cs="Times New Roman"/>
        <w:sz w:val="24"/>
        <w:szCs w:val="24"/>
      </w:rPr>
      <w:t>BUS101–ASSIGNMENT WORKSHEETS</w:t>
    </w:r>
    <w:r>
      <w:t xml:space="preserve"> </w:t>
    </w:r>
    <w:r>
      <w:tab/>
    </w:r>
    <w:r>
      <w:tab/>
    </w:r>
    <w:sdt>
      <w:sdtPr>
        <w:id w:val="940108407"/>
        <w:docPartObj>
          <w:docPartGallery w:val="Page Numbers (Top of Page)"/>
          <w:docPartUnique/>
        </w:docPartObj>
      </w:sdtPr>
      <w:sdtEndPr>
        <w:rPr>
          <w:noProof/>
        </w:rPr>
      </w:sdtEndPr>
      <w:sdtContent>
        <w:r w:rsidRPr="00107C71">
          <w:rPr>
            <w:rFonts w:ascii="Times New Roman" w:hAnsi="Times New Roman" w:cs="Times New Roman"/>
            <w:sz w:val="24"/>
            <w:szCs w:val="24"/>
          </w:rPr>
          <w:fldChar w:fldCharType="begin"/>
        </w:r>
        <w:r w:rsidRPr="00107C71">
          <w:rPr>
            <w:rFonts w:ascii="Times New Roman" w:hAnsi="Times New Roman" w:cs="Times New Roman"/>
            <w:sz w:val="24"/>
            <w:szCs w:val="24"/>
          </w:rPr>
          <w:instrText xml:space="preserve"> PAGE   \* MERGEFORMAT </w:instrText>
        </w:r>
        <w:r w:rsidRPr="00107C71">
          <w:rPr>
            <w:rFonts w:ascii="Times New Roman" w:hAnsi="Times New Roman" w:cs="Times New Roman"/>
            <w:sz w:val="24"/>
            <w:szCs w:val="24"/>
          </w:rPr>
          <w:fldChar w:fldCharType="separate"/>
        </w:r>
        <w:r>
          <w:rPr>
            <w:rFonts w:ascii="Times New Roman" w:hAnsi="Times New Roman" w:cs="Times New Roman"/>
            <w:noProof/>
            <w:sz w:val="24"/>
            <w:szCs w:val="24"/>
          </w:rPr>
          <w:t>11</w:t>
        </w:r>
        <w:r w:rsidRPr="00107C71">
          <w:rPr>
            <w:rFonts w:ascii="Times New Roman" w:hAnsi="Times New Roman" w:cs="Times New Roman"/>
            <w:noProof/>
            <w:sz w:val="24"/>
            <w:szCs w:val="24"/>
          </w:rPr>
          <w:fldChar w:fldCharType="end"/>
        </w:r>
      </w:sdtContent>
    </w:sdt>
  </w:p>
  <w:p w:rsidR="00107C71" w:rsidRDefault="00E11D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C71" w:rsidRDefault="00E11D0D">
    <w:pPr>
      <w:pStyle w:val="Header"/>
    </w:pPr>
    <w:r>
      <w:rPr>
        <w:rFonts w:ascii="Times New Roman" w:hAnsi="Times New Roman" w:cs="Times New Roman"/>
        <w:sz w:val="24"/>
        <w:szCs w:val="24"/>
      </w:rPr>
      <w:t xml:space="preserve">Running Head: </w:t>
    </w:r>
    <w:r>
      <w:rPr>
        <w:rFonts w:ascii="Times New Roman" w:hAnsi="Times New Roman" w:cs="Times New Roman"/>
        <w:sz w:val="24"/>
        <w:szCs w:val="24"/>
      </w:rPr>
      <w:t>BUS101–ASSIGNMENT WORKSHEETS</w:t>
    </w:r>
    <w:r>
      <w:t xml:space="preserve"> </w:t>
    </w:r>
    <w:r>
      <w:tab/>
    </w:r>
    <w:sdt>
      <w:sdtPr>
        <w:id w:val="-1611045039"/>
        <w:docPartObj>
          <w:docPartGallery w:val="Page Numbers (Top of Page)"/>
          <w:docPartUnique/>
        </w:docPartObj>
      </w:sdtPr>
      <w:sdtEndPr>
        <w:rPr>
          <w:noProof/>
        </w:rPr>
      </w:sdtEndPr>
      <w:sdtContent>
        <w:r w:rsidRPr="00107C71">
          <w:rPr>
            <w:rFonts w:ascii="Times New Roman" w:hAnsi="Times New Roman" w:cs="Times New Roman"/>
            <w:sz w:val="24"/>
            <w:szCs w:val="24"/>
          </w:rPr>
          <w:fldChar w:fldCharType="begin"/>
        </w:r>
        <w:r w:rsidRPr="00107C71">
          <w:rPr>
            <w:rFonts w:ascii="Times New Roman" w:hAnsi="Times New Roman" w:cs="Times New Roman"/>
            <w:sz w:val="24"/>
            <w:szCs w:val="24"/>
          </w:rPr>
          <w:instrText xml:space="preserve"> PAGE   \* MERGEFORMAT </w:instrText>
        </w:r>
        <w:r w:rsidRPr="00107C71">
          <w:rPr>
            <w:rFonts w:ascii="Times New Roman" w:hAnsi="Times New Roman" w:cs="Times New Roman"/>
            <w:sz w:val="24"/>
            <w:szCs w:val="24"/>
          </w:rPr>
          <w:fldChar w:fldCharType="separate"/>
        </w:r>
        <w:r>
          <w:rPr>
            <w:rFonts w:ascii="Times New Roman" w:hAnsi="Times New Roman" w:cs="Times New Roman"/>
            <w:noProof/>
            <w:sz w:val="24"/>
            <w:szCs w:val="24"/>
          </w:rPr>
          <w:t>1</w:t>
        </w:r>
        <w:r w:rsidRPr="00107C7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32DF8"/>
    <w:multiLevelType w:val="singleLevel"/>
    <w:tmpl w:val="F454D040"/>
    <w:lvl w:ilvl="0">
      <w:start w:val="1"/>
      <w:numFmt w:val="decimal"/>
      <w:lvlText w:val="%1."/>
      <w:legacy w:legacy="1" w:legacySpace="0" w:legacyIndent="360"/>
      <w:lvlJc w:val="left"/>
      <w:rPr>
        <w:rFonts w:ascii="Times New Roman" w:hAnsi="Times New Roman" w:cs="Times New Roman" w:hint="default"/>
      </w:rPr>
    </w:lvl>
  </w:abstractNum>
  <w:abstractNum w:abstractNumId="1">
    <w:nsid w:val="368970EA"/>
    <w:multiLevelType w:val="singleLevel"/>
    <w:tmpl w:val="F454D040"/>
    <w:lvl w:ilvl="0">
      <w:start w:val="1"/>
      <w:numFmt w:val="decimal"/>
      <w:lvlText w:val="%1."/>
      <w:legacy w:legacy="1" w:legacySpace="0" w:legacyIndent="360"/>
      <w:lvlJc w:val="left"/>
      <w:rPr>
        <w:rFonts w:ascii="Times New Roman" w:hAnsi="Times New Roman" w:cs="Times New Roman" w:hint="default"/>
      </w:rPr>
    </w:lvl>
  </w:abstractNum>
  <w:abstractNum w:abstractNumId="2">
    <w:nsid w:val="37A74D78"/>
    <w:multiLevelType w:val="singleLevel"/>
    <w:tmpl w:val="F454D040"/>
    <w:lvl w:ilvl="0">
      <w:start w:val="1"/>
      <w:numFmt w:val="decimal"/>
      <w:lvlText w:val="%1."/>
      <w:legacy w:legacy="1" w:legacySpace="0" w:legacyIndent="360"/>
      <w:lvlJc w:val="left"/>
      <w:rPr>
        <w:rFonts w:ascii="Times New Roman" w:hAnsi="Times New Roman" w:cs="Times New Roman" w:hint="default"/>
      </w:rPr>
    </w:lvl>
  </w:abstractNum>
  <w:abstractNum w:abstractNumId="3">
    <w:nsid w:val="3CC816C1"/>
    <w:multiLevelType w:val="singleLevel"/>
    <w:tmpl w:val="F454D040"/>
    <w:lvl w:ilvl="0">
      <w:start w:val="1"/>
      <w:numFmt w:val="decimal"/>
      <w:lvlText w:val="%1."/>
      <w:legacy w:legacy="1" w:legacySpace="0" w:legacyIndent="360"/>
      <w:lvlJc w:val="left"/>
      <w:rPr>
        <w:rFonts w:ascii="Times New Roman" w:hAnsi="Times New Roman" w:cs="Times New Roman" w:hint="default"/>
      </w:rPr>
    </w:lvl>
  </w:abstractNum>
  <w:abstractNum w:abstractNumId="4">
    <w:nsid w:val="442F0A32"/>
    <w:multiLevelType w:val="singleLevel"/>
    <w:tmpl w:val="F454D040"/>
    <w:lvl w:ilvl="0">
      <w:start w:val="1"/>
      <w:numFmt w:val="decimal"/>
      <w:lvlText w:val="%1."/>
      <w:legacy w:legacy="1" w:legacySpace="0" w:legacyIndent="360"/>
      <w:lvlJc w:val="left"/>
      <w:rPr>
        <w:rFonts w:ascii="Times New Roman" w:hAnsi="Times New Roman" w:cs="Times New Roman" w:hint="default"/>
      </w:rPr>
    </w:lvl>
  </w:abstractNum>
  <w:abstractNum w:abstractNumId="5">
    <w:nsid w:val="4CDB2CF7"/>
    <w:multiLevelType w:val="singleLevel"/>
    <w:tmpl w:val="F454D040"/>
    <w:lvl w:ilvl="0">
      <w:start w:val="1"/>
      <w:numFmt w:val="decimal"/>
      <w:lvlText w:val="%1."/>
      <w:legacy w:legacy="1" w:legacySpace="0" w:legacyIndent="360"/>
      <w:lvlJc w:val="left"/>
      <w:rPr>
        <w:rFonts w:ascii="Times New Roman" w:hAnsi="Times New Roman" w:cs="Times New Roman" w:hint="default"/>
      </w:rPr>
    </w:lvl>
  </w:abstractNum>
  <w:abstractNum w:abstractNumId="6">
    <w:nsid w:val="670F724A"/>
    <w:multiLevelType w:val="singleLevel"/>
    <w:tmpl w:val="F454D040"/>
    <w:lvl w:ilvl="0">
      <w:start w:val="1"/>
      <w:numFmt w:val="decimal"/>
      <w:lvlText w:val="%1."/>
      <w:legacy w:legacy="1" w:legacySpace="0" w:legacyIndent="360"/>
      <w:lvlJc w:val="left"/>
      <w:rPr>
        <w:rFonts w:ascii="Times New Roman" w:hAnsi="Times New Roman" w:cs="Times New Roman" w:hint="default"/>
      </w:rPr>
    </w:lvl>
  </w:abstractNum>
  <w:abstractNum w:abstractNumId="7">
    <w:nsid w:val="71C60E7E"/>
    <w:multiLevelType w:val="singleLevel"/>
    <w:tmpl w:val="F454D040"/>
    <w:lvl w:ilvl="0">
      <w:start w:val="1"/>
      <w:numFmt w:val="decimal"/>
      <w:lvlText w:val="%1."/>
      <w:legacy w:legacy="1" w:legacySpace="0" w:legacyIndent="360"/>
      <w:lvlJc w:val="left"/>
      <w:rPr>
        <w:rFonts w:ascii="Times New Roman" w:hAnsi="Times New Roman" w:cs="Times New Roman" w:hint="default"/>
      </w:rPr>
    </w:lvl>
  </w:abstractNum>
  <w:num w:numId="1">
    <w:abstractNumId w:val="1"/>
  </w:num>
  <w:num w:numId="2">
    <w:abstractNumId w:val="6"/>
  </w:num>
  <w:num w:numId="3">
    <w:abstractNumId w:val="5"/>
  </w:num>
  <w:num w:numId="4">
    <w:abstractNumId w:val="4"/>
  </w:num>
  <w:num w:numId="5">
    <w:abstractNumId w:val="3"/>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0D"/>
    <w:rsid w:val="003039F5"/>
    <w:rsid w:val="00A46B1C"/>
    <w:rsid w:val="00E11D0D"/>
    <w:rsid w:val="00E95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5719AD-131C-4828-AAEA-70AE99BF6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1D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D0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11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ww.myaccountingcourse.com/financial-ratios/"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1746</Words>
  <Characters>9956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2018-08-30T13:10:00Z</dcterms:created>
  <dcterms:modified xsi:type="dcterms:W3CDTF">2018-08-30T13:10:00Z</dcterms:modified>
</cp:coreProperties>
</file>