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2F848" w14:textId="77777777" w:rsidR="00047A82" w:rsidRPr="00A94D4D" w:rsidRDefault="00047A82" w:rsidP="00A77762">
      <w:pPr>
        <w:shd w:val="clear" w:color="auto" w:fill="FFFFFF"/>
        <w:spacing w:after="0" w:line="480" w:lineRule="auto"/>
        <w:jc w:val="center"/>
        <w:outlineLvl w:val="2"/>
        <w:rPr>
          <w:rFonts w:ascii="Times New Roman" w:eastAsia="Times New Roman" w:hAnsi="Times New Roman" w:cs="Times New Roman"/>
          <w:b/>
          <w:bCs/>
          <w:sz w:val="24"/>
          <w:szCs w:val="24"/>
        </w:rPr>
      </w:pPr>
      <w:bookmarkStart w:id="0" w:name="_GoBack"/>
      <w:bookmarkEnd w:id="0"/>
      <w:r w:rsidRPr="00A94D4D">
        <w:rPr>
          <w:rFonts w:ascii="Times New Roman" w:eastAsia="Times New Roman" w:hAnsi="Times New Roman" w:cs="Times New Roman"/>
          <w:b/>
          <w:bCs/>
          <w:sz w:val="24"/>
          <w:szCs w:val="24"/>
        </w:rPr>
        <w:t>Bid Comparison Form</w:t>
      </w:r>
    </w:p>
    <w:p w14:paraId="4BFBBF11" w14:textId="77777777" w:rsidR="00A45AAE" w:rsidRPr="00A94D4D" w:rsidRDefault="00A45AAE" w:rsidP="00A77762">
      <w:pPr>
        <w:shd w:val="clear" w:color="auto" w:fill="FFFFFF"/>
        <w:spacing w:after="0" w:line="480" w:lineRule="auto"/>
        <w:rPr>
          <w:rFonts w:ascii="Times New Roman" w:eastAsia="Times New Roman" w:hAnsi="Times New Roman" w:cs="Times New Roman"/>
          <w:sz w:val="24"/>
          <w:szCs w:val="24"/>
        </w:rPr>
      </w:pPr>
    </w:p>
    <w:tbl>
      <w:tblPr>
        <w:tblW w:w="8994" w:type="dxa"/>
        <w:tblLook w:val="04A0" w:firstRow="1" w:lastRow="0" w:firstColumn="1" w:lastColumn="0" w:noHBand="0" w:noVBand="1"/>
      </w:tblPr>
      <w:tblGrid>
        <w:gridCol w:w="4951"/>
        <w:gridCol w:w="1451"/>
        <w:gridCol w:w="1236"/>
        <w:gridCol w:w="1383"/>
      </w:tblGrid>
      <w:tr w:rsidR="00A94D4D" w:rsidRPr="00A94D4D" w14:paraId="581147AE"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6B5CF7E4"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Subcontractors</w:t>
            </w:r>
          </w:p>
        </w:tc>
        <w:tc>
          <w:tcPr>
            <w:tcW w:w="1451" w:type="dxa"/>
            <w:tcBorders>
              <w:top w:val="nil"/>
              <w:left w:val="nil"/>
              <w:bottom w:val="single" w:sz="4" w:space="0" w:color="auto"/>
              <w:right w:val="single" w:sz="4" w:space="0" w:color="auto"/>
            </w:tcBorders>
            <w:shd w:val="clear" w:color="auto" w:fill="auto"/>
            <w:noWrap/>
            <w:vAlign w:val="bottom"/>
            <w:hideMark/>
          </w:tcPr>
          <w:p w14:paraId="4FB5EBA2" w14:textId="77777777" w:rsidR="00A94D4D" w:rsidRPr="00A94D4D" w:rsidRDefault="00A94D4D" w:rsidP="00A77762">
            <w:pPr>
              <w:spacing w:after="0" w:line="480" w:lineRule="auto"/>
              <w:jc w:val="center"/>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xml:space="preserve">EZ Data </w:t>
            </w:r>
          </w:p>
          <w:p w14:paraId="689EE102" w14:textId="4EDABCB2" w:rsidR="00A94D4D" w:rsidRPr="00A94D4D" w:rsidRDefault="00A94D4D" w:rsidP="00A77762">
            <w:pPr>
              <w:spacing w:after="0" w:line="480" w:lineRule="auto"/>
              <w:jc w:val="center"/>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Services</w:t>
            </w:r>
          </w:p>
        </w:tc>
        <w:tc>
          <w:tcPr>
            <w:tcW w:w="1209" w:type="dxa"/>
            <w:tcBorders>
              <w:top w:val="nil"/>
              <w:left w:val="nil"/>
              <w:bottom w:val="single" w:sz="4" w:space="0" w:color="auto"/>
              <w:right w:val="single" w:sz="4" w:space="0" w:color="auto"/>
            </w:tcBorders>
            <w:shd w:val="clear" w:color="auto" w:fill="auto"/>
            <w:noWrap/>
            <w:vAlign w:val="bottom"/>
            <w:hideMark/>
          </w:tcPr>
          <w:p w14:paraId="322AFB3E" w14:textId="623DCCF3" w:rsidR="00A94D4D" w:rsidRPr="00A94D4D" w:rsidRDefault="00A94D4D" w:rsidP="00A77762">
            <w:pPr>
              <w:spacing w:after="0" w:line="480" w:lineRule="auto"/>
              <w:jc w:val="center"/>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We Move You</w:t>
            </w:r>
          </w:p>
        </w:tc>
        <w:tc>
          <w:tcPr>
            <w:tcW w:w="1383" w:type="dxa"/>
            <w:tcBorders>
              <w:top w:val="nil"/>
              <w:left w:val="nil"/>
              <w:bottom w:val="single" w:sz="4" w:space="0" w:color="auto"/>
              <w:right w:val="single" w:sz="4" w:space="0" w:color="auto"/>
            </w:tcBorders>
            <w:shd w:val="clear" w:color="auto" w:fill="auto"/>
            <w:noWrap/>
            <w:vAlign w:val="bottom"/>
            <w:hideMark/>
          </w:tcPr>
          <w:p w14:paraId="35F55A7B" w14:textId="72F91F9C" w:rsidR="00A94D4D" w:rsidRPr="00A94D4D" w:rsidRDefault="00A94D4D" w:rsidP="00A7776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 Data Services</w:t>
            </w:r>
          </w:p>
        </w:tc>
      </w:tr>
      <w:tr w:rsidR="00A94D4D" w:rsidRPr="00A94D4D" w14:paraId="62A9CA90"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29F7B4AE" w14:textId="77777777" w:rsidR="00A94D4D" w:rsidRPr="00A94D4D" w:rsidRDefault="00A94D4D" w:rsidP="00A77762">
            <w:pPr>
              <w:spacing w:after="0" w:line="480" w:lineRule="auto"/>
              <w:jc w:val="center"/>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Base Price</w:t>
            </w:r>
          </w:p>
        </w:tc>
        <w:tc>
          <w:tcPr>
            <w:tcW w:w="1451" w:type="dxa"/>
            <w:tcBorders>
              <w:top w:val="nil"/>
              <w:left w:val="nil"/>
              <w:bottom w:val="single" w:sz="4" w:space="0" w:color="auto"/>
              <w:right w:val="single" w:sz="4" w:space="0" w:color="auto"/>
            </w:tcBorders>
            <w:shd w:val="clear" w:color="auto" w:fill="auto"/>
            <w:noWrap/>
            <w:vAlign w:val="bottom"/>
            <w:hideMark/>
          </w:tcPr>
          <w:p w14:paraId="1EDB4237"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p>
        </w:tc>
        <w:tc>
          <w:tcPr>
            <w:tcW w:w="1209" w:type="dxa"/>
            <w:tcBorders>
              <w:top w:val="nil"/>
              <w:left w:val="nil"/>
              <w:bottom w:val="single" w:sz="4" w:space="0" w:color="auto"/>
              <w:right w:val="single" w:sz="4" w:space="0" w:color="auto"/>
            </w:tcBorders>
            <w:shd w:val="clear" w:color="auto" w:fill="auto"/>
            <w:noWrap/>
            <w:vAlign w:val="bottom"/>
            <w:hideMark/>
          </w:tcPr>
          <w:p w14:paraId="5C880B00"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p>
        </w:tc>
        <w:tc>
          <w:tcPr>
            <w:tcW w:w="1383" w:type="dxa"/>
            <w:tcBorders>
              <w:top w:val="nil"/>
              <w:left w:val="nil"/>
              <w:bottom w:val="single" w:sz="4" w:space="0" w:color="auto"/>
              <w:right w:val="single" w:sz="4" w:space="0" w:color="auto"/>
            </w:tcBorders>
            <w:shd w:val="clear" w:color="auto" w:fill="auto"/>
            <w:noWrap/>
            <w:vAlign w:val="bottom"/>
            <w:hideMark/>
          </w:tcPr>
          <w:p w14:paraId="6A1AE2BA"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p>
        </w:tc>
      </w:tr>
      <w:tr w:rsidR="00A94D4D" w:rsidRPr="00A94D4D" w14:paraId="049C34D6"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26CCE3EF" w14:textId="3B6E5722"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xml:space="preserve">Task 1: Analyzing new data center facilities to determine if ventilation, heating, and air-conditioning (HVAC); and resources for communication are enough to support the planned level of operations </w:t>
            </w:r>
          </w:p>
        </w:tc>
        <w:tc>
          <w:tcPr>
            <w:tcW w:w="1451" w:type="dxa"/>
            <w:tcBorders>
              <w:top w:val="nil"/>
              <w:left w:val="nil"/>
              <w:bottom w:val="single" w:sz="4" w:space="0" w:color="auto"/>
              <w:right w:val="single" w:sz="4" w:space="0" w:color="auto"/>
            </w:tcBorders>
            <w:shd w:val="clear" w:color="auto" w:fill="auto"/>
            <w:noWrap/>
            <w:vAlign w:val="bottom"/>
            <w:hideMark/>
          </w:tcPr>
          <w:p w14:paraId="1D5117B3" w14:textId="589B9E41"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13,500</w:t>
            </w:r>
          </w:p>
        </w:tc>
        <w:tc>
          <w:tcPr>
            <w:tcW w:w="1209" w:type="dxa"/>
            <w:tcBorders>
              <w:top w:val="nil"/>
              <w:left w:val="nil"/>
              <w:bottom w:val="single" w:sz="4" w:space="0" w:color="auto"/>
              <w:right w:val="single" w:sz="4" w:space="0" w:color="auto"/>
            </w:tcBorders>
            <w:shd w:val="clear" w:color="auto" w:fill="auto"/>
            <w:noWrap/>
            <w:vAlign w:val="bottom"/>
            <w:hideMark/>
          </w:tcPr>
          <w:p w14:paraId="4B06F9A1" w14:textId="717F4E2D"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10,000</w:t>
            </w:r>
          </w:p>
        </w:tc>
        <w:tc>
          <w:tcPr>
            <w:tcW w:w="1383" w:type="dxa"/>
            <w:tcBorders>
              <w:top w:val="nil"/>
              <w:left w:val="nil"/>
              <w:bottom w:val="single" w:sz="4" w:space="0" w:color="auto"/>
              <w:right w:val="single" w:sz="4" w:space="0" w:color="auto"/>
            </w:tcBorders>
            <w:shd w:val="clear" w:color="auto" w:fill="auto"/>
            <w:noWrap/>
            <w:vAlign w:val="bottom"/>
            <w:hideMark/>
          </w:tcPr>
          <w:p w14:paraId="65A379E4" w14:textId="77F3080F"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15,000</w:t>
            </w:r>
          </w:p>
        </w:tc>
      </w:tr>
      <w:tr w:rsidR="00A94D4D" w:rsidRPr="00A94D4D" w14:paraId="4FAE6175"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77A39D4D" w14:textId="02AA5F2D"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Task 2: Preparation of 225 physical servers for shipment from existing location and also to the new data center.</w:t>
            </w:r>
          </w:p>
        </w:tc>
        <w:tc>
          <w:tcPr>
            <w:tcW w:w="1451" w:type="dxa"/>
            <w:tcBorders>
              <w:top w:val="nil"/>
              <w:left w:val="nil"/>
              <w:bottom w:val="single" w:sz="4" w:space="0" w:color="auto"/>
              <w:right w:val="single" w:sz="4" w:space="0" w:color="auto"/>
            </w:tcBorders>
            <w:shd w:val="clear" w:color="auto" w:fill="auto"/>
            <w:noWrap/>
            <w:vAlign w:val="bottom"/>
            <w:hideMark/>
          </w:tcPr>
          <w:p w14:paraId="5AD68F94" w14:textId="2C6D5304"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22,500</w:t>
            </w:r>
          </w:p>
        </w:tc>
        <w:tc>
          <w:tcPr>
            <w:tcW w:w="1209" w:type="dxa"/>
            <w:tcBorders>
              <w:top w:val="nil"/>
              <w:left w:val="nil"/>
              <w:bottom w:val="single" w:sz="4" w:space="0" w:color="auto"/>
              <w:right w:val="single" w:sz="4" w:space="0" w:color="auto"/>
            </w:tcBorders>
            <w:shd w:val="clear" w:color="auto" w:fill="auto"/>
            <w:noWrap/>
            <w:vAlign w:val="bottom"/>
            <w:hideMark/>
          </w:tcPr>
          <w:p w14:paraId="744EFD4D" w14:textId="2F3F5349"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15,000</w:t>
            </w:r>
          </w:p>
        </w:tc>
        <w:tc>
          <w:tcPr>
            <w:tcW w:w="1383" w:type="dxa"/>
            <w:tcBorders>
              <w:top w:val="nil"/>
              <w:left w:val="nil"/>
              <w:bottom w:val="single" w:sz="4" w:space="0" w:color="auto"/>
              <w:right w:val="single" w:sz="4" w:space="0" w:color="auto"/>
            </w:tcBorders>
            <w:shd w:val="clear" w:color="auto" w:fill="auto"/>
            <w:noWrap/>
            <w:vAlign w:val="bottom"/>
            <w:hideMark/>
          </w:tcPr>
          <w:p w14:paraId="15585954" w14:textId="56B0606A"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21,000</w:t>
            </w:r>
          </w:p>
        </w:tc>
      </w:tr>
      <w:tr w:rsidR="00A94D4D" w:rsidRPr="00A94D4D" w14:paraId="313B1658"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6FDD9347" w14:textId="478CFB53"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Task 3: Preparing new help desk organization in support of new data center operations at tier-1 and tier-2 levels.</w:t>
            </w:r>
          </w:p>
        </w:tc>
        <w:tc>
          <w:tcPr>
            <w:tcW w:w="1451" w:type="dxa"/>
            <w:tcBorders>
              <w:top w:val="nil"/>
              <w:left w:val="nil"/>
              <w:bottom w:val="single" w:sz="4" w:space="0" w:color="auto"/>
              <w:right w:val="single" w:sz="4" w:space="0" w:color="auto"/>
            </w:tcBorders>
            <w:shd w:val="clear" w:color="auto" w:fill="auto"/>
            <w:noWrap/>
            <w:vAlign w:val="bottom"/>
            <w:hideMark/>
          </w:tcPr>
          <w:p w14:paraId="2267F977" w14:textId="622674B1"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40,000</w:t>
            </w:r>
          </w:p>
        </w:tc>
        <w:tc>
          <w:tcPr>
            <w:tcW w:w="1209" w:type="dxa"/>
            <w:tcBorders>
              <w:top w:val="nil"/>
              <w:left w:val="nil"/>
              <w:bottom w:val="single" w:sz="4" w:space="0" w:color="auto"/>
              <w:right w:val="single" w:sz="4" w:space="0" w:color="auto"/>
            </w:tcBorders>
            <w:shd w:val="clear" w:color="auto" w:fill="auto"/>
            <w:noWrap/>
            <w:vAlign w:val="bottom"/>
            <w:hideMark/>
          </w:tcPr>
          <w:p w14:paraId="09DA08A6" w14:textId="514BC95F"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25,000</w:t>
            </w:r>
          </w:p>
        </w:tc>
        <w:tc>
          <w:tcPr>
            <w:tcW w:w="1383" w:type="dxa"/>
            <w:tcBorders>
              <w:top w:val="nil"/>
              <w:left w:val="nil"/>
              <w:bottom w:val="single" w:sz="4" w:space="0" w:color="auto"/>
              <w:right w:val="single" w:sz="4" w:space="0" w:color="auto"/>
            </w:tcBorders>
            <w:shd w:val="clear" w:color="auto" w:fill="auto"/>
            <w:noWrap/>
            <w:vAlign w:val="bottom"/>
            <w:hideMark/>
          </w:tcPr>
          <w:p w14:paraId="0C8A878C" w14:textId="1F018E70"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48,000</w:t>
            </w:r>
          </w:p>
        </w:tc>
      </w:tr>
      <w:tr w:rsidR="00A94D4D" w:rsidRPr="00A94D4D" w14:paraId="7CC51E3C"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42D4E9E9" w14:textId="0C194538"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xml:space="preserve">Task 4: Analyzing for determination of physical security procedures and processes to know if they are adequate for provision of secure and safe operation of the facility. </w:t>
            </w:r>
          </w:p>
        </w:tc>
        <w:tc>
          <w:tcPr>
            <w:tcW w:w="1451" w:type="dxa"/>
            <w:tcBorders>
              <w:top w:val="nil"/>
              <w:left w:val="nil"/>
              <w:bottom w:val="single" w:sz="4" w:space="0" w:color="auto"/>
              <w:right w:val="single" w:sz="4" w:space="0" w:color="auto"/>
            </w:tcBorders>
            <w:shd w:val="clear" w:color="auto" w:fill="auto"/>
            <w:noWrap/>
            <w:vAlign w:val="bottom"/>
            <w:hideMark/>
          </w:tcPr>
          <w:p w14:paraId="7D1E7578" w14:textId="32C972FB"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17,250</w:t>
            </w:r>
          </w:p>
        </w:tc>
        <w:tc>
          <w:tcPr>
            <w:tcW w:w="1209" w:type="dxa"/>
            <w:tcBorders>
              <w:top w:val="nil"/>
              <w:left w:val="nil"/>
              <w:bottom w:val="single" w:sz="4" w:space="0" w:color="auto"/>
              <w:right w:val="single" w:sz="4" w:space="0" w:color="auto"/>
            </w:tcBorders>
            <w:shd w:val="clear" w:color="auto" w:fill="auto"/>
            <w:noWrap/>
            <w:vAlign w:val="bottom"/>
            <w:hideMark/>
          </w:tcPr>
          <w:p w14:paraId="148D7708" w14:textId="30EF485E"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18,000</w:t>
            </w:r>
          </w:p>
        </w:tc>
        <w:tc>
          <w:tcPr>
            <w:tcW w:w="1383" w:type="dxa"/>
            <w:tcBorders>
              <w:top w:val="nil"/>
              <w:left w:val="nil"/>
              <w:bottom w:val="single" w:sz="4" w:space="0" w:color="auto"/>
              <w:right w:val="single" w:sz="4" w:space="0" w:color="auto"/>
            </w:tcBorders>
            <w:shd w:val="clear" w:color="auto" w:fill="auto"/>
            <w:noWrap/>
            <w:vAlign w:val="bottom"/>
            <w:hideMark/>
          </w:tcPr>
          <w:p w14:paraId="121C19E4" w14:textId="64F5A558"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22,250</w:t>
            </w:r>
          </w:p>
        </w:tc>
      </w:tr>
      <w:tr w:rsidR="00A94D4D" w:rsidRPr="00A94D4D" w14:paraId="56648053" w14:textId="77777777" w:rsidTr="00A94D4D">
        <w:trPr>
          <w:trHeight w:val="402"/>
        </w:trPr>
        <w:tc>
          <w:tcPr>
            <w:tcW w:w="4951" w:type="dxa"/>
            <w:tcBorders>
              <w:top w:val="nil"/>
              <w:left w:val="single" w:sz="4" w:space="0" w:color="auto"/>
              <w:bottom w:val="single" w:sz="4" w:space="0" w:color="auto"/>
              <w:right w:val="single" w:sz="4" w:space="0" w:color="auto"/>
            </w:tcBorders>
            <w:shd w:val="clear" w:color="000000" w:fill="D9D9D9"/>
            <w:noWrap/>
            <w:vAlign w:val="bottom"/>
            <w:hideMark/>
          </w:tcPr>
          <w:p w14:paraId="3125DCCF" w14:textId="77777777" w:rsidR="00A94D4D" w:rsidRPr="00A94D4D" w:rsidRDefault="00A94D4D" w:rsidP="00A77762">
            <w:pPr>
              <w:spacing w:after="0" w:line="480" w:lineRule="auto"/>
              <w:jc w:val="right"/>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Total:</w:t>
            </w:r>
          </w:p>
        </w:tc>
        <w:tc>
          <w:tcPr>
            <w:tcW w:w="1451" w:type="dxa"/>
            <w:tcBorders>
              <w:top w:val="nil"/>
              <w:left w:val="nil"/>
              <w:bottom w:val="single" w:sz="4" w:space="0" w:color="auto"/>
              <w:right w:val="single" w:sz="4" w:space="0" w:color="auto"/>
            </w:tcBorders>
            <w:shd w:val="clear" w:color="000000" w:fill="D9D9D9"/>
            <w:noWrap/>
            <w:vAlign w:val="bottom"/>
            <w:hideMark/>
          </w:tcPr>
          <w:p w14:paraId="1494B22A" w14:textId="1B0F68DC"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93,250.00</w:t>
            </w:r>
          </w:p>
        </w:tc>
        <w:tc>
          <w:tcPr>
            <w:tcW w:w="1209" w:type="dxa"/>
            <w:tcBorders>
              <w:top w:val="nil"/>
              <w:left w:val="nil"/>
              <w:bottom w:val="single" w:sz="4" w:space="0" w:color="auto"/>
              <w:right w:val="single" w:sz="4" w:space="0" w:color="auto"/>
            </w:tcBorders>
            <w:shd w:val="clear" w:color="000000" w:fill="D9D9D9"/>
            <w:noWrap/>
            <w:vAlign w:val="bottom"/>
            <w:hideMark/>
          </w:tcPr>
          <w:p w14:paraId="2783BB3E" w14:textId="4202B56B"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68,000.00</w:t>
            </w:r>
          </w:p>
        </w:tc>
        <w:tc>
          <w:tcPr>
            <w:tcW w:w="1383" w:type="dxa"/>
            <w:tcBorders>
              <w:top w:val="nil"/>
              <w:left w:val="nil"/>
              <w:bottom w:val="single" w:sz="4" w:space="0" w:color="auto"/>
              <w:right w:val="single" w:sz="4" w:space="0" w:color="auto"/>
            </w:tcBorders>
            <w:shd w:val="clear" w:color="000000" w:fill="D9D9D9"/>
            <w:noWrap/>
            <w:vAlign w:val="bottom"/>
            <w:hideMark/>
          </w:tcPr>
          <w:p w14:paraId="03B30607" w14:textId="473EE855"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106,250.00</w:t>
            </w:r>
          </w:p>
        </w:tc>
      </w:tr>
      <w:tr w:rsidR="00A94D4D" w:rsidRPr="00A94D4D" w14:paraId="14FB9FE4"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689BC8F1"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Bid on Time (Yes/No)</w:t>
            </w:r>
          </w:p>
        </w:tc>
        <w:tc>
          <w:tcPr>
            <w:tcW w:w="1451" w:type="dxa"/>
            <w:tcBorders>
              <w:top w:val="nil"/>
              <w:left w:val="nil"/>
              <w:bottom w:val="single" w:sz="4" w:space="0" w:color="auto"/>
              <w:right w:val="single" w:sz="4" w:space="0" w:color="auto"/>
            </w:tcBorders>
            <w:shd w:val="clear" w:color="auto" w:fill="auto"/>
            <w:noWrap/>
            <w:vAlign w:val="bottom"/>
            <w:hideMark/>
          </w:tcPr>
          <w:p w14:paraId="3B78A8C2" w14:textId="195F4954"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YES</w:t>
            </w:r>
          </w:p>
        </w:tc>
        <w:tc>
          <w:tcPr>
            <w:tcW w:w="1209" w:type="dxa"/>
            <w:tcBorders>
              <w:top w:val="nil"/>
              <w:left w:val="nil"/>
              <w:bottom w:val="single" w:sz="4" w:space="0" w:color="auto"/>
              <w:right w:val="single" w:sz="4" w:space="0" w:color="auto"/>
            </w:tcBorders>
            <w:shd w:val="clear" w:color="auto" w:fill="auto"/>
            <w:noWrap/>
            <w:vAlign w:val="bottom"/>
            <w:hideMark/>
          </w:tcPr>
          <w:p w14:paraId="1EEEE0D6" w14:textId="4513160B"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NO</w:t>
            </w:r>
          </w:p>
        </w:tc>
        <w:tc>
          <w:tcPr>
            <w:tcW w:w="1383" w:type="dxa"/>
            <w:tcBorders>
              <w:top w:val="nil"/>
              <w:left w:val="nil"/>
              <w:bottom w:val="single" w:sz="4" w:space="0" w:color="auto"/>
              <w:right w:val="single" w:sz="4" w:space="0" w:color="auto"/>
            </w:tcBorders>
            <w:shd w:val="clear" w:color="auto" w:fill="auto"/>
            <w:noWrap/>
            <w:vAlign w:val="bottom"/>
            <w:hideMark/>
          </w:tcPr>
          <w:p w14:paraId="4D343AB9" w14:textId="70162A5E"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r>
      <w:tr w:rsidR="00A94D4D" w:rsidRPr="00A94D4D" w14:paraId="15403FBA"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1431AC65"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Complies with RFP/RFQ (Yes/No)</w:t>
            </w:r>
          </w:p>
        </w:tc>
        <w:tc>
          <w:tcPr>
            <w:tcW w:w="1451" w:type="dxa"/>
            <w:tcBorders>
              <w:top w:val="nil"/>
              <w:left w:val="nil"/>
              <w:bottom w:val="single" w:sz="4" w:space="0" w:color="auto"/>
              <w:right w:val="single" w:sz="4" w:space="0" w:color="auto"/>
            </w:tcBorders>
            <w:shd w:val="clear" w:color="auto" w:fill="auto"/>
            <w:noWrap/>
            <w:vAlign w:val="bottom"/>
            <w:hideMark/>
          </w:tcPr>
          <w:p w14:paraId="50AF6BDE" w14:textId="5DE12AD8"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YES</w:t>
            </w:r>
          </w:p>
        </w:tc>
        <w:tc>
          <w:tcPr>
            <w:tcW w:w="1209" w:type="dxa"/>
            <w:tcBorders>
              <w:top w:val="nil"/>
              <w:left w:val="nil"/>
              <w:bottom w:val="single" w:sz="4" w:space="0" w:color="auto"/>
              <w:right w:val="single" w:sz="4" w:space="0" w:color="auto"/>
            </w:tcBorders>
            <w:shd w:val="clear" w:color="auto" w:fill="auto"/>
            <w:noWrap/>
            <w:vAlign w:val="bottom"/>
            <w:hideMark/>
          </w:tcPr>
          <w:p w14:paraId="74CA00EE" w14:textId="2E42E13D"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c>
          <w:tcPr>
            <w:tcW w:w="1383" w:type="dxa"/>
            <w:tcBorders>
              <w:top w:val="nil"/>
              <w:left w:val="nil"/>
              <w:bottom w:val="single" w:sz="4" w:space="0" w:color="auto"/>
              <w:right w:val="single" w:sz="4" w:space="0" w:color="auto"/>
            </w:tcBorders>
            <w:shd w:val="clear" w:color="auto" w:fill="auto"/>
            <w:noWrap/>
            <w:vAlign w:val="bottom"/>
            <w:hideMark/>
          </w:tcPr>
          <w:p w14:paraId="0492B023" w14:textId="5B9870A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r>
      <w:tr w:rsidR="00A94D4D" w:rsidRPr="00A94D4D" w14:paraId="7D5F0A15"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5CD9736C"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lastRenderedPageBreak/>
              <w:t>Price Fair &amp; Reasonable (Yes/No)</w:t>
            </w:r>
          </w:p>
        </w:tc>
        <w:tc>
          <w:tcPr>
            <w:tcW w:w="1451" w:type="dxa"/>
            <w:tcBorders>
              <w:top w:val="nil"/>
              <w:left w:val="nil"/>
              <w:bottom w:val="single" w:sz="4" w:space="0" w:color="auto"/>
              <w:right w:val="single" w:sz="4" w:space="0" w:color="auto"/>
            </w:tcBorders>
            <w:shd w:val="clear" w:color="auto" w:fill="auto"/>
            <w:noWrap/>
            <w:vAlign w:val="bottom"/>
            <w:hideMark/>
          </w:tcPr>
          <w:p w14:paraId="1D2DE08F" w14:textId="19E0816B"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YES</w:t>
            </w:r>
          </w:p>
        </w:tc>
        <w:tc>
          <w:tcPr>
            <w:tcW w:w="1209" w:type="dxa"/>
            <w:tcBorders>
              <w:top w:val="nil"/>
              <w:left w:val="nil"/>
              <w:bottom w:val="single" w:sz="4" w:space="0" w:color="auto"/>
              <w:right w:val="single" w:sz="4" w:space="0" w:color="auto"/>
            </w:tcBorders>
            <w:shd w:val="clear" w:color="auto" w:fill="auto"/>
            <w:noWrap/>
            <w:vAlign w:val="bottom"/>
            <w:hideMark/>
          </w:tcPr>
          <w:p w14:paraId="040C9E20" w14:textId="771EB988"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c>
          <w:tcPr>
            <w:tcW w:w="1383" w:type="dxa"/>
            <w:tcBorders>
              <w:top w:val="nil"/>
              <w:left w:val="nil"/>
              <w:bottom w:val="single" w:sz="4" w:space="0" w:color="auto"/>
              <w:right w:val="single" w:sz="4" w:space="0" w:color="auto"/>
            </w:tcBorders>
            <w:shd w:val="clear" w:color="auto" w:fill="auto"/>
            <w:noWrap/>
            <w:vAlign w:val="bottom"/>
            <w:hideMark/>
          </w:tcPr>
          <w:p w14:paraId="731AF2BC" w14:textId="6BA2B029"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r>
      <w:tr w:rsidR="00A94D4D" w:rsidRPr="00A94D4D" w14:paraId="71F06A6D"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4212CBF4"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Company Experienced? (Yes/No)</w:t>
            </w:r>
          </w:p>
        </w:tc>
        <w:tc>
          <w:tcPr>
            <w:tcW w:w="1451" w:type="dxa"/>
            <w:tcBorders>
              <w:top w:val="nil"/>
              <w:left w:val="nil"/>
              <w:bottom w:val="single" w:sz="4" w:space="0" w:color="auto"/>
              <w:right w:val="single" w:sz="4" w:space="0" w:color="auto"/>
            </w:tcBorders>
            <w:shd w:val="clear" w:color="auto" w:fill="auto"/>
            <w:noWrap/>
            <w:vAlign w:val="bottom"/>
            <w:hideMark/>
          </w:tcPr>
          <w:p w14:paraId="66272116" w14:textId="7A449D19"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YES</w:t>
            </w:r>
          </w:p>
        </w:tc>
        <w:tc>
          <w:tcPr>
            <w:tcW w:w="1209" w:type="dxa"/>
            <w:tcBorders>
              <w:top w:val="nil"/>
              <w:left w:val="nil"/>
              <w:bottom w:val="single" w:sz="4" w:space="0" w:color="auto"/>
              <w:right w:val="single" w:sz="4" w:space="0" w:color="auto"/>
            </w:tcBorders>
            <w:shd w:val="clear" w:color="auto" w:fill="auto"/>
            <w:noWrap/>
            <w:vAlign w:val="bottom"/>
            <w:hideMark/>
          </w:tcPr>
          <w:p w14:paraId="062D33D8" w14:textId="28AC216B"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NO</w:t>
            </w:r>
          </w:p>
        </w:tc>
        <w:tc>
          <w:tcPr>
            <w:tcW w:w="1383" w:type="dxa"/>
            <w:tcBorders>
              <w:top w:val="nil"/>
              <w:left w:val="nil"/>
              <w:bottom w:val="single" w:sz="4" w:space="0" w:color="auto"/>
              <w:right w:val="single" w:sz="4" w:space="0" w:color="auto"/>
            </w:tcBorders>
            <w:shd w:val="clear" w:color="auto" w:fill="auto"/>
            <w:noWrap/>
            <w:vAlign w:val="bottom"/>
            <w:hideMark/>
          </w:tcPr>
          <w:p w14:paraId="0F2A99B2" w14:textId="7BA1D1D5"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r>
      <w:tr w:rsidR="00A94D4D" w:rsidRPr="00A94D4D" w14:paraId="35D768E5"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2F2FD3D5"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Use Subcontractors? (Yes/No/Maybe)</w:t>
            </w:r>
          </w:p>
        </w:tc>
        <w:tc>
          <w:tcPr>
            <w:tcW w:w="1451" w:type="dxa"/>
            <w:tcBorders>
              <w:top w:val="nil"/>
              <w:left w:val="nil"/>
              <w:bottom w:val="single" w:sz="4" w:space="0" w:color="auto"/>
              <w:right w:val="single" w:sz="4" w:space="0" w:color="auto"/>
            </w:tcBorders>
            <w:shd w:val="clear" w:color="auto" w:fill="auto"/>
            <w:noWrap/>
            <w:vAlign w:val="bottom"/>
            <w:hideMark/>
          </w:tcPr>
          <w:p w14:paraId="58DE4C26" w14:textId="33C0335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NO</w:t>
            </w:r>
          </w:p>
        </w:tc>
        <w:tc>
          <w:tcPr>
            <w:tcW w:w="1209" w:type="dxa"/>
            <w:tcBorders>
              <w:top w:val="nil"/>
              <w:left w:val="nil"/>
              <w:bottom w:val="single" w:sz="4" w:space="0" w:color="auto"/>
              <w:right w:val="single" w:sz="4" w:space="0" w:color="auto"/>
            </w:tcBorders>
            <w:shd w:val="clear" w:color="auto" w:fill="auto"/>
            <w:noWrap/>
            <w:vAlign w:val="bottom"/>
            <w:hideMark/>
          </w:tcPr>
          <w:p w14:paraId="631C295E" w14:textId="5E1C591A"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c>
          <w:tcPr>
            <w:tcW w:w="1383" w:type="dxa"/>
            <w:tcBorders>
              <w:top w:val="nil"/>
              <w:left w:val="nil"/>
              <w:bottom w:val="single" w:sz="4" w:space="0" w:color="auto"/>
              <w:right w:val="single" w:sz="4" w:space="0" w:color="auto"/>
            </w:tcBorders>
            <w:shd w:val="clear" w:color="auto" w:fill="auto"/>
            <w:noWrap/>
            <w:vAlign w:val="bottom"/>
            <w:hideMark/>
          </w:tcPr>
          <w:p w14:paraId="4A6BD3A3" w14:textId="1CD627B5"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NO</w:t>
            </w:r>
          </w:p>
        </w:tc>
      </w:tr>
      <w:tr w:rsidR="00A94D4D" w:rsidRPr="00A94D4D" w14:paraId="43D1EBAD" w14:textId="77777777" w:rsidTr="00A94D4D">
        <w:trPr>
          <w:trHeight w:val="402"/>
        </w:trPr>
        <w:tc>
          <w:tcPr>
            <w:tcW w:w="4951" w:type="dxa"/>
            <w:tcBorders>
              <w:top w:val="nil"/>
              <w:left w:val="single" w:sz="4" w:space="0" w:color="auto"/>
              <w:bottom w:val="single" w:sz="4" w:space="0" w:color="auto"/>
              <w:right w:val="single" w:sz="4" w:space="0" w:color="auto"/>
            </w:tcBorders>
            <w:shd w:val="clear" w:color="auto" w:fill="auto"/>
            <w:noWrap/>
            <w:vAlign w:val="bottom"/>
            <w:hideMark/>
          </w:tcPr>
          <w:p w14:paraId="23DFD7C2"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Bonded Employees? (Yes/No)</w:t>
            </w:r>
          </w:p>
        </w:tc>
        <w:tc>
          <w:tcPr>
            <w:tcW w:w="1451" w:type="dxa"/>
            <w:tcBorders>
              <w:top w:val="nil"/>
              <w:left w:val="nil"/>
              <w:bottom w:val="single" w:sz="4" w:space="0" w:color="auto"/>
              <w:right w:val="single" w:sz="4" w:space="0" w:color="auto"/>
            </w:tcBorders>
            <w:shd w:val="clear" w:color="auto" w:fill="auto"/>
            <w:noWrap/>
            <w:vAlign w:val="bottom"/>
            <w:hideMark/>
          </w:tcPr>
          <w:p w14:paraId="5D64FAA7" w14:textId="77D621CD"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YES</w:t>
            </w:r>
          </w:p>
        </w:tc>
        <w:tc>
          <w:tcPr>
            <w:tcW w:w="1209" w:type="dxa"/>
            <w:tcBorders>
              <w:top w:val="nil"/>
              <w:left w:val="nil"/>
              <w:bottom w:val="single" w:sz="4" w:space="0" w:color="auto"/>
              <w:right w:val="single" w:sz="4" w:space="0" w:color="auto"/>
            </w:tcBorders>
            <w:shd w:val="clear" w:color="auto" w:fill="auto"/>
            <w:noWrap/>
            <w:vAlign w:val="bottom"/>
            <w:hideMark/>
          </w:tcPr>
          <w:p w14:paraId="05F0B5F5" w14:textId="1F64AAC1"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YES</w:t>
            </w:r>
          </w:p>
        </w:tc>
        <w:tc>
          <w:tcPr>
            <w:tcW w:w="1383" w:type="dxa"/>
            <w:tcBorders>
              <w:top w:val="nil"/>
              <w:left w:val="nil"/>
              <w:bottom w:val="single" w:sz="4" w:space="0" w:color="auto"/>
              <w:right w:val="single" w:sz="4" w:space="0" w:color="auto"/>
            </w:tcBorders>
            <w:shd w:val="clear" w:color="auto" w:fill="auto"/>
            <w:noWrap/>
            <w:vAlign w:val="bottom"/>
            <w:hideMark/>
          </w:tcPr>
          <w:p w14:paraId="7E8130F2" w14:textId="3BBA78FE"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NO</w:t>
            </w:r>
          </w:p>
        </w:tc>
      </w:tr>
      <w:tr w:rsidR="00A94D4D" w:rsidRPr="00A94D4D" w14:paraId="2838C9C4" w14:textId="77777777" w:rsidTr="00A94D4D">
        <w:trPr>
          <w:trHeight w:val="1208"/>
        </w:trPr>
        <w:tc>
          <w:tcPr>
            <w:tcW w:w="4951" w:type="dxa"/>
            <w:tcBorders>
              <w:top w:val="nil"/>
              <w:left w:val="single" w:sz="4" w:space="0" w:color="auto"/>
              <w:bottom w:val="single" w:sz="4" w:space="0" w:color="auto"/>
              <w:right w:val="single" w:sz="4" w:space="0" w:color="auto"/>
            </w:tcBorders>
            <w:shd w:val="clear" w:color="auto" w:fill="auto"/>
            <w:vAlign w:val="bottom"/>
            <w:hideMark/>
          </w:tcPr>
          <w:p w14:paraId="674B1EF1" w14:textId="211BDD6E"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xml:space="preserve">Perceived Risk Factor on a scale </w:t>
            </w:r>
            <w:r w:rsidR="00F87C0B" w:rsidRPr="00A94D4D">
              <w:rPr>
                <w:rFonts w:ascii="Times New Roman" w:eastAsia="Times New Roman" w:hAnsi="Times New Roman" w:cs="Times New Roman"/>
                <w:sz w:val="24"/>
                <w:szCs w:val="24"/>
              </w:rPr>
              <w:t>of 1</w:t>
            </w:r>
            <w:r w:rsidRPr="00A94D4D">
              <w:rPr>
                <w:rFonts w:ascii="Times New Roman" w:eastAsia="Times New Roman" w:hAnsi="Times New Roman" w:cs="Times New Roman"/>
                <w:sz w:val="24"/>
                <w:szCs w:val="24"/>
              </w:rPr>
              <w:t xml:space="preserve">-5                   </w:t>
            </w:r>
          </w:p>
          <w:p w14:paraId="47EEEE40" w14:textId="77777777"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(1 = Good, 5 = Bad)</w:t>
            </w:r>
          </w:p>
        </w:tc>
        <w:tc>
          <w:tcPr>
            <w:tcW w:w="1451" w:type="dxa"/>
            <w:tcBorders>
              <w:top w:val="nil"/>
              <w:left w:val="nil"/>
              <w:bottom w:val="single" w:sz="4" w:space="0" w:color="auto"/>
              <w:right w:val="single" w:sz="4" w:space="0" w:color="auto"/>
            </w:tcBorders>
            <w:shd w:val="clear" w:color="auto" w:fill="auto"/>
            <w:noWrap/>
            <w:vAlign w:val="bottom"/>
            <w:hideMark/>
          </w:tcPr>
          <w:p w14:paraId="3436D9E7" w14:textId="0D24F509"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2</w:t>
            </w:r>
          </w:p>
        </w:tc>
        <w:tc>
          <w:tcPr>
            <w:tcW w:w="1209" w:type="dxa"/>
            <w:tcBorders>
              <w:top w:val="nil"/>
              <w:left w:val="nil"/>
              <w:bottom w:val="single" w:sz="4" w:space="0" w:color="auto"/>
              <w:right w:val="single" w:sz="4" w:space="0" w:color="auto"/>
            </w:tcBorders>
            <w:shd w:val="clear" w:color="auto" w:fill="auto"/>
            <w:noWrap/>
            <w:vAlign w:val="bottom"/>
            <w:hideMark/>
          </w:tcPr>
          <w:p w14:paraId="375245CA" w14:textId="5DD9147D"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4</w:t>
            </w:r>
          </w:p>
        </w:tc>
        <w:tc>
          <w:tcPr>
            <w:tcW w:w="1383" w:type="dxa"/>
            <w:tcBorders>
              <w:top w:val="nil"/>
              <w:left w:val="nil"/>
              <w:bottom w:val="single" w:sz="4" w:space="0" w:color="auto"/>
              <w:right w:val="single" w:sz="4" w:space="0" w:color="auto"/>
            </w:tcBorders>
            <w:shd w:val="clear" w:color="auto" w:fill="auto"/>
            <w:noWrap/>
            <w:vAlign w:val="bottom"/>
            <w:hideMark/>
          </w:tcPr>
          <w:p w14:paraId="6A4C2C2C" w14:textId="6BF3DE6B" w:rsidR="00A94D4D" w:rsidRPr="00A94D4D" w:rsidRDefault="00A94D4D" w:rsidP="00A77762">
            <w:pPr>
              <w:spacing w:after="0" w:line="480" w:lineRule="auto"/>
              <w:rPr>
                <w:rFonts w:ascii="Times New Roman" w:eastAsia="Times New Roman" w:hAnsi="Times New Roman" w:cs="Times New Roman"/>
                <w:sz w:val="24"/>
                <w:szCs w:val="24"/>
              </w:rPr>
            </w:pPr>
            <w:r w:rsidRPr="00A94D4D">
              <w:rPr>
                <w:rFonts w:ascii="Times New Roman" w:eastAsia="Times New Roman" w:hAnsi="Times New Roman" w:cs="Times New Roman"/>
                <w:sz w:val="24"/>
                <w:szCs w:val="24"/>
              </w:rPr>
              <w:t> </w:t>
            </w:r>
            <w:r w:rsidR="00F87C0B">
              <w:rPr>
                <w:rFonts w:ascii="Times New Roman" w:eastAsia="Times New Roman" w:hAnsi="Times New Roman" w:cs="Times New Roman"/>
                <w:sz w:val="24"/>
                <w:szCs w:val="24"/>
              </w:rPr>
              <w:t>1</w:t>
            </w:r>
          </w:p>
        </w:tc>
      </w:tr>
    </w:tbl>
    <w:p w14:paraId="25A12E4F" w14:textId="77777777" w:rsidR="00A45AAE" w:rsidRPr="00A94D4D" w:rsidRDefault="00A45AAE" w:rsidP="00A77762">
      <w:pPr>
        <w:shd w:val="clear" w:color="auto" w:fill="FFFFFF"/>
        <w:spacing w:after="0" w:line="480" w:lineRule="auto"/>
        <w:rPr>
          <w:rFonts w:ascii="Times New Roman" w:eastAsia="Times New Roman" w:hAnsi="Times New Roman" w:cs="Times New Roman"/>
          <w:sz w:val="24"/>
          <w:szCs w:val="24"/>
        </w:rPr>
      </w:pPr>
    </w:p>
    <w:p w14:paraId="337A58D4" w14:textId="77777777" w:rsidR="009376AE" w:rsidRPr="00A94D4D" w:rsidRDefault="00F454A1" w:rsidP="00A77762">
      <w:pPr>
        <w:spacing w:after="0" w:line="480" w:lineRule="auto"/>
        <w:jc w:val="center"/>
        <w:rPr>
          <w:rFonts w:ascii="Times New Roman" w:hAnsi="Times New Roman" w:cs="Times New Roman"/>
          <w:b/>
          <w:sz w:val="24"/>
          <w:szCs w:val="24"/>
        </w:rPr>
      </w:pPr>
      <w:r w:rsidRPr="00A94D4D">
        <w:rPr>
          <w:rFonts w:ascii="Times New Roman" w:hAnsi="Times New Roman" w:cs="Times New Roman"/>
          <w:b/>
          <w:sz w:val="24"/>
          <w:szCs w:val="24"/>
        </w:rPr>
        <w:t>Analysis, Choice of Vendor, and Justification</w:t>
      </w:r>
    </w:p>
    <w:p w14:paraId="77AE8578" w14:textId="77777777" w:rsidR="00F454A1" w:rsidRPr="00A94D4D" w:rsidRDefault="00F454A1" w:rsidP="00A77762">
      <w:pPr>
        <w:spacing w:after="0" w:line="480" w:lineRule="auto"/>
        <w:rPr>
          <w:rFonts w:ascii="Times New Roman" w:hAnsi="Times New Roman" w:cs="Times New Roman"/>
          <w:sz w:val="24"/>
          <w:szCs w:val="24"/>
        </w:rPr>
      </w:pPr>
    </w:p>
    <w:p w14:paraId="20FA429B" w14:textId="77777777" w:rsidR="0091293D" w:rsidRPr="0091293D"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The central part of the selection commences basing on the RFQ's timely response and how they are received.  The deadline for responses was set to be on February 15th at 5 pm, where two of the three requests were back on time. The first response was for Pro Data Service (PDS), which made it back at 11:30 am on February 15th. The second response was for EZ Data Services at 4:30 pm. We Move You, LLC, had the last response at 5</w:t>
      </w:r>
      <w:proofErr w:type="gramStart"/>
      <w:r w:rsidRPr="0091293D">
        <w:rPr>
          <w:rFonts w:ascii="Times New Roman" w:hAnsi="Times New Roman" w:cs="Times New Roman"/>
          <w:sz w:val="24"/>
          <w:szCs w:val="24"/>
        </w:rPr>
        <w:t>..01</w:t>
      </w:r>
      <w:proofErr w:type="gramEnd"/>
      <w:r w:rsidRPr="0091293D">
        <w:rPr>
          <w:rFonts w:ascii="Times New Roman" w:hAnsi="Times New Roman" w:cs="Times New Roman"/>
          <w:sz w:val="24"/>
          <w:szCs w:val="24"/>
        </w:rPr>
        <w:t xml:space="preserve"> pm. That was late.  Punctuality matters a lot, and this is possible where an individual instills self-discipline. When doing business, people must recognize and act in punctuality to enhance excellent and thrilling outcomes (</w:t>
      </w:r>
      <w:proofErr w:type="spellStart"/>
      <w:r w:rsidRPr="0091293D">
        <w:rPr>
          <w:rFonts w:ascii="Times New Roman" w:hAnsi="Times New Roman" w:cs="Times New Roman"/>
          <w:sz w:val="24"/>
          <w:szCs w:val="24"/>
        </w:rPr>
        <w:t>Goetsch</w:t>
      </w:r>
      <w:proofErr w:type="spellEnd"/>
      <w:r w:rsidRPr="0091293D">
        <w:rPr>
          <w:rFonts w:ascii="Times New Roman" w:hAnsi="Times New Roman" w:cs="Times New Roman"/>
          <w:sz w:val="24"/>
          <w:szCs w:val="24"/>
        </w:rPr>
        <w:t xml:space="preserve">, 2014).  </w:t>
      </w:r>
    </w:p>
    <w:p w14:paraId="3BDA0827" w14:textId="77777777" w:rsidR="0091293D" w:rsidRPr="0091293D"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The second piece of selection was checking the duration in which the vendor had been in business, especially in the desired area. Although it seems not a significant or more important factor in the selection process</w:t>
      </w:r>
      <w:proofErr w:type="gramStart"/>
      <w:r w:rsidRPr="0091293D">
        <w:rPr>
          <w:rFonts w:ascii="Times New Roman" w:hAnsi="Times New Roman" w:cs="Times New Roman"/>
          <w:sz w:val="24"/>
          <w:szCs w:val="24"/>
        </w:rPr>
        <w:t>,  it</w:t>
      </w:r>
      <w:proofErr w:type="gramEnd"/>
      <w:r w:rsidRPr="0091293D">
        <w:rPr>
          <w:rFonts w:ascii="Times New Roman" w:hAnsi="Times New Roman" w:cs="Times New Roman"/>
          <w:sz w:val="24"/>
          <w:szCs w:val="24"/>
        </w:rPr>
        <w:t xml:space="preserve"> assists in the tiebreaker event. EZ Data boasts of having been in the data services business for 15 years (</w:t>
      </w:r>
      <w:proofErr w:type="spellStart"/>
      <w:r w:rsidRPr="0091293D">
        <w:rPr>
          <w:rFonts w:ascii="Times New Roman" w:hAnsi="Times New Roman" w:cs="Times New Roman"/>
          <w:sz w:val="24"/>
          <w:szCs w:val="24"/>
        </w:rPr>
        <w:t>Goetsch</w:t>
      </w:r>
      <w:proofErr w:type="spellEnd"/>
      <w:r w:rsidRPr="0091293D">
        <w:rPr>
          <w:rFonts w:ascii="Times New Roman" w:hAnsi="Times New Roman" w:cs="Times New Roman"/>
          <w:sz w:val="24"/>
          <w:szCs w:val="24"/>
        </w:rPr>
        <w:t xml:space="preserve">, 2014). The next is Pro Data Services in 7 years, but it is a subsidiary of a larger company with 75 years of experience. Lastly, We Move You have operated in 10 months. </w:t>
      </w:r>
    </w:p>
    <w:p w14:paraId="3677A3D3" w14:textId="77777777" w:rsidR="0091293D" w:rsidRPr="0091293D"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 xml:space="preserve">If we check on work-based experience, then PDS gets the edge from being a subsidiary of a company known to be in the leading Fortune 500 companies that have Data services. EZ Data Services is considered an independent vendor with 15 years in the documented experience (Ramalingam, 2020). That is concerning individuals who have experience with the Department of Defense systems. Although We Move You has ten months' experience, we discover that they hire experienced contractors probably who got experience for long even before the vendor opened up. That means the productivity for We Move You is still on higher levels. </w:t>
      </w:r>
    </w:p>
    <w:p w14:paraId="26D49F75" w14:textId="77777777" w:rsidR="0091293D" w:rsidRPr="0091293D"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 xml:space="preserve">Subcontractors get hired from two of the listed three vendors who are responding to RFQ. EZ Data and We Move You are the two hiring subcontractors to complete all the requested services (Ramalingam, 2020). We Move You seem to be hiring subcontractors for most of their works, whereas EZ Data is committed to hiring subcontractors to fill the gap in their coverage. PDS uses employees from their organization and also the parent company. </w:t>
      </w:r>
    </w:p>
    <w:p w14:paraId="45F6221F" w14:textId="77777777" w:rsidR="0091293D" w:rsidRPr="0091293D"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 xml:space="preserve">Insurance policies are less regarded as part of the evaluation, and in fact, they are optional in the evaluation process (Ramalingam, 2020). However, it is essential to get events of an accident or unforeseen event for that matter. EZ Data Services and We Move You have got employees who are insured and bonded with </w:t>
      </w:r>
      <w:proofErr w:type="gramStart"/>
      <w:r w:rsidRPr="0091293D">
        <w:rPr>
          <w:rFonts w:ascii="Times New Roman" w:hAnsi="Times New Roman" w:cs="Times New Roman"/>
          <w:sz w:val="24"/>
          <w:szCs w:val="24"/>
        </w:rPr>
        <w:t>a  corporate</w:t>
      </w:r>
      <w:proofErr w:type="gramEnd"/>
      <w:r w:rsidRPr="0091293D">
        <w:rPr>
          <w:rFonts w:ascii="Times New Roman" w:hAnsi="Times New Roman" w:cs="Times New Roman"/>
          <w:sz w:val="24"/>
          <w:szCs w:val="24"/>
        </w:rPr>
        <w:t xml:space="preserve"> insurance policy. Furthermore, it was not stated that PDS had reached an insurance policy covering its employees. </w:t>
      </w:r>
    </w:p>
    <w:p w14:paraId="0E87D834" w14:textId="77777777" w:rsidR="0091293D" w:rsidRPr="0091293D"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Arguably, my decision was reached upon checking the best value to the amount of money that was being paid. This became an integral part of MSI's data infrastructure; we needed more since there was a budget amount of money spent on the data services (</w:t>
      </w:r>
      <w:proofErr w:type="spellStart"/>
      <w:r w:rsidRPr="0091293D">
        <w:rPr>
          <w:rFonts w:ascii="Times New Roman" w:hAnsi="Times New Roman" w:cs="Times New Roman"/>
          <w:sz w:val="24"/>
          <w:szCs w:val="24"/>
        </w:rPr>
        <w:t>Goetsch</w:t>
      </w:r>
      <w:proofErr w:type="spellEnd"/>
      <w:r w:rsidRPr="0091293D">
        <w:rPr>
          <w:rFonts w:ascii="Times New Roman" w:hAnsi="Times New Roman" w:cs="Times New Roman"/>
          <w:sz w:val="24"/>
          <w:szCs w:val="24"/>
        </w:rPr>
        <w:t xml:space="preserve">, 2014). I believe that EZ Data was the most appropriate for MSI's needs in my decision and mt thinking. This is by considering all the factors without being biased by external or even internal issues. After all, we need quality and timely service deliveries in any company. The company met all the requirements, which create confidence and trust in the data center relocation and surpass the standards in those sets (Ramalingam, 2020). It is essential to consider the experience of a vendor to have successful outcomes. </w:t>
      </w:r>
    </w:p>
    <w:p w14:paraId="1693CD20" w14:textId="0C7E0DAC" w:rsidR="007A5281" w:rsidRDefault="0091293D" w:rsidP="0091293D">
      <w:pPr>
        <w:spacing w:after="0" w:line="480" w:lineRule="auto"/>
        <w:ind w:firstLine="567"/>
        <w:rPr>
          <w:rFonts w:ascii="Times New Roman" w:hAnsi="Times New Roman" w:cs="Times New Roman"/>
          <w:sz w:val="24"/>
          <w:szCs w:val="24"/>
        </w:rPr>
      </w:pPr>
      <w:r w:rsidRPr="0091293D">
        <w:rPr>
          <w:rFonts w:ascii="Times New Roman" w:hAnsi="Times New Roman" w:cs="Times New Roman"/>
          <w:sz w:val="24"/>
          <w:szCs w:val="24"/>
        </w:rPr>
        <w:t>In this case, hiring veterans in the required field, especially in the systems where servers will be able to support, is an excellent plus to MSI. This is because MSI has dealt with DoD and should ensure the contract or relationship is maintained in the longest time possible.</w:t>
      </w:r>
    </w:p>
    <w:p w14:paraId="54CD5911" w14:textId="64DEBE16" w:rsidR="007A5281" w:rsidRDefault="007A5281" w:rsidP="00A77762">
      <w:pPr>
        <w:spacing w:after="0" w:line="480" w:lineRule="auto"/>
        <w:ind w:firstLine="567"/>
        <w:rPr>
          <w:rFonts w:ascii="Times New Roman" w:hAnsi="Times New Roman" w:cs="Times New Roman"/>
          <w:sz w:val="24"/>
          <w:szCs w:val="24"/>
        </w:rPr>
      </w:pPr>
    </w:p>
    <w:p w14:paraId="502F34D2" w14:textId="3E0A4C88" w:rsidR="007A5281" w:rsidRDefault="007A5281" w:rsidP="00A77762">
      <w:pPr>
        <w:spacing w:after="0" w:line="480" w:lineRule="auto"/>
        <w:ind w:firstLine="567"/>
        <w:rPr>
          <w:rFonts w:ascii="Times New Roman" w:hAnsi="Times New Roman" w:cs="Times New Roman"/>
          <w:sz w:val="24"/>
          <w:szCs w:val="24"/>
        </w:rPr>
      </w:pPr>
    </w:p>
    <w:p w14:paraId="2C26DAFE" w14:textId="69AC1717" w:rsidR="007A5281" w:rsidRDefault="007A5281" w:rsidP="00A77762">
      <w:pPr>
        <w:spacing w:after="0" w:line="480" w:lineRule="auto"/>
        <w:ind w:firstLine="567"/>
        <w:rPr>
          <w:rFonts w:ascii="Times New Roman" w:hAnsi="Times New Roman" w:cs="Times New Roman"/>
          <w:sz w:val="24"/>
          <w:szCs w:val="24"/>
        </w:rPr>
      </w:pPr>
    </w:p>
    <w:p w14:paraId="09FEBEE0" w14:textId="0CED51F9" w:rsidR="007A5281" w:rsidRDefault="007A5281" w:rsidP="00A77762">
      <w:pPr>
        <w:spacing w:after="0" w:line="480" w:lineRule="auto"/>
        <w:ind w:firstLine="567"/>
        <w:rPr>
          <w:rFonts w:ascii="Times New Roman" w:hAnsi="Times New Roman" w:cs="Times New Roman"/>
          <w:sz w:val="24"/>
          <w:szCs w:val="24"/>
        </w:rPr>
      </w:pPr>
    </w:p>
    <w:p w14:paraId="076E7296" w14:textId="332E8FA7" w:rsidR="007A5281" w:rsidRDefault="007A5281" w:rsidP="00A77762">
      <w:pPr>
        <w:spacing w:after="0" w:line="480" w:lineRule="auto"/>
        <w:ind w:firstLine="567"/>
        <w:rPr>
          <w:rFonts w:ascii="Times New Roman" w:hAnsi="Times New Roman" w:cs="Times New Roman"/>
          <w:sz w:val="24"/>
          <w:szCs w:val="24"/>
        </w:rPr>
      </w:pPr>
    </w:p>
    <w:p w14:paraId="1C49C520" w14:textId="551C0CBA" w:rsidR="007A5281" w:rsidRDefault="007A5281" w:rsidP="00A77762">
      <w:pPr>
        <w:spacing w:after="0" w:line="480" w:lineRule="auto"/>
        <w:ind w:firstLine="567"/>
        <w:rPr>
          <w:rFonts w:ascii="Times New Roman" w:hAnsi="Times New Roman" w:cs="Times New Roman"/>
          <w:sz w:val="24"/>
          <w:szCs w:val="24"/>
        </w:rPr>
      </w:pPr>
    </w:p>
    <w:p w14:paraId="30212CF0" w14:textId="03C5C636" w:rsidR="007A5281" w:rsidRDefault="007A5281" w:rsidP="00A77762">
      <w:pPr>
        <w:spacing w:after="0" w:line="480" w:lineRule="auto"/>
        <w:ind w:firstLine="567"/>
        <w:rPr>
          <w:rFonts w:ascii="Times New Roman" w:hAnsi="Times New Roman" w:cs="Times New Roman"/>
          <w:sz w:val="24"/>
          <w:szCs w:val="24"/>
        </w:rPr>
      </w:pPr>
    </w:p>
    <w:p w14:paraId="5551C2FC" w14:textId="3CB20E52" w:rsidR="007A5281" w:rsidRDefault="007A5281" w:rsidP="00A77762">
      <w:pPr>
        <w:spacing w:after="0" w:line="480" w:lineRule="auto"/>
        <w:ind w:firstLine="567"/>
        <w:rPr>
          <w:rFonts w:ascii="Times New Roman" w:hAnsi="Times New Roman" w:cs="Times New Roman"/>
          <w:sz w:val="24"/>
          <w:szCs w:val="24"/>
        </w:rPr>
      </w:pPr>
    </w:p>
    <w:p w14:paraId="15DC324A" w14:textId="3B81F3D6" w:rsidR="007A5281" w:rsidRDefault="007A5281" w:rsidP="00A77762">
      <w:pPr>
        <w:spacing w:after="0" w:line="480" w:lineRule="auto"/>
        <w:ind w:firstLine="567"/>
        <w:rPr>
          <w:rFonts w:ascii="Times New Roman" w:hAnsi="Times New Roman" w:cs="Times New Roman"/>
          <w:sz w:val="24"/>
          <w:szCs w:val="24"/>
        </w:rPr>
      </w:pPr>
    </w:p>
    <w:p w14:paraId="03742001" w14:textId="18FC6FE0" w:rsidR="007A5281" w:rsidRDefault="007A5281" w:rsidP="00A77762">
      <w:pPr>
        <w:spacing w:after="0" w:line="480" w:lineRule="auto"/>
        <w:ind w:firstLine="567"/>
        <w:rPr>
          <w:rFonts w:ascii="Times New Roman" w:hAnsi="Times New Roman" w:cs="Times New Roman"/>
          <w:sz w:val="24"/>
          <w:szCs w:val="24"/>
        </w:rPr>
      </w:pPr>
    </w:p>
    <w:p w14:paraId="275CAFFB" w14:textId="29D7EE3A" w:rsidR="007A5281" w:rsidRDefault="007A5281" w:rsidP="00A77762">
      <w:pPr>
        <w:spacing w:after="0" w:line="480" w:lineRule="auto"/>
        <w:ind w:firstLine="567"/>
        <w:rPr>
          <w:rFonts w:ascii="Times New Roman" w:hAnsi="Times New Roman" w:cs="Times New Roman"/>
          <w:sz w:val="24"/>
          <w:szCs w:val="24"/>
        </w:rPr>
      </w:pPr>
    </w:p>
    <w:p w14:paraId="5BDAE9D4" w14:textId="78496425" w:rsidR="007A5281" w:rsidRDefault="007A5281" w:rsidP="00A77762">
      <w:pPr>
        <w:spacing w:after="0" w:line="480" w:lineRule="auto"/>
        <w:ind w:firstLine="567"/>
        <w:rPr>
          <w:rFonts w:ascii="Times New Roman" w:hAnsi="Times New Roman" w:cs="Times New Roman"/>
          <w:sz w:val="24"/>
          <w:szCs w:val="24"/>
        </w:rPr>
      </w:pPr>
    </w:p>
    <w:p w14:paraId="3293E27E" w14:textId="6E64C9C5" w:rsidR="007A5281" w:rsidRDefault="007A5281" w:rsidP="00A77762">
      <w:pPr>
        <w:spacing w:after="0" w:line="480" w:lineRule="auto"/>
        <w:ind w:firstLine="567"/>
        <w:rPr>
          <w:rFonts w:ascii="Times New Roman" w:hAnsi="Times New Roman" w:cs="Times New Roman"/>
          <w:sz w:val="24"/>
          <w:szCs w:val="24"/>
        </w:rPr>
      </w:pPr>
    </w:p>
    <w:p w14:paraId="2B9D8E24" w14:textId="5662D36B" w:rsidR="007A5281" w:rsidRDefault="007A5281" w:rsidP="00A77762">
      <w:pPr>
        <w:spacing w:after="0" w:line="480" w:lineRule="auto"/>
        <w:ind w:firstLine="567"/>
        <w:rPr>
          <w:rFonts w:ascii="Times New Roman" w:hAnsi="Times New Roman" w:cs="Times New Roman"/>
          <w:sz w:val="24"/>
          <w:szCs w:val="24"/>
        </w:rPr>
      </w:pPr>
    </w:p>
    <w:p w14:paraId="28558FA2" w14:textId="7573F292" w:rsidR="007A5281" w:rsidRDefault="007A5281" w:rsidP="00A77762">
      <w:pPr>
        <w:spacing w:after="0" w:line="480" w:lineRule="auto"/>
        <w:ind w:firstLine="567"/>
        <w:rPr>
          <w:rFonts w:ascii="Times New Roman" w:hAnsi="Times New Roman" w:cs="Times New Roman"/>
          <w:sz w:val="24"/>
          <w:szCs w:val="24"/>
        </w:rPr>
      </w:pPr>
    </w:p>
    <w:p w14:paraId="7C2DB822" w14:textId="00FDDC2D" w:rsidR="007A5281" w:rsidRDefault="007A5281" w:rsidP="00A77762">
      <w:pPr>
        <w:spacing w:after="0" w:line="480" w:lineRule="auto"/>
        <w:ind w:firstLine="567"/>
        <w:rPr>
          <w:rFonts w:ascii="Times New Roman" w:hAnsi="Times New Roman" w:cs="Times New Roman"/>
          <w:sz w:val="24"/>
          <w:szCs w:val="24"/>
        </w:rPr>
      </w:pPr>
    </w:p>
    <w:p w14:paraId="0C209D8B" w14:textId="77777777" w:rsidR="004D5105" w:rsidRDefault="004D5105" w:rsidP="00A77762">
      <w:pPr>
        <w:spacing w:after="0" w:line="480" w:lineRule="auto"/>
        <w:ind w:firstLine="567"/>
        <w:rPr>
          <w:rFonts w:ascii="Times New Roman" w:hAnsi="Times New Roman" w:cs="Times New Roman"/>
          <w:sz w:val="24"/>
          <w:szCs w:val="24"/>
        </w:rPr>
      </w:pPr>
    </w:p>
    <w:p w14:paraId="25F46C83" w14:textId="0117E108" w:rsidR="007A5281" w:rsidRDefault="007A5281" w:rsidP="004D5105">
      <w:pPr>
        <w:spacing w:after="0"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14:paraId="1265E1D2" w14:textId="77777777" w:rsidR="0091293D" w:rsidRDefault="007A5281" w:rsidP="0091293D">
      <w:pPr>
        <w:pStyle w:val="NormalWeb"/>
        <w:spacing w:line="480" w:lineRule="auto"/>
        <w:ind w:left="720" w:hanging="720"/>
      </w:pPr>
      <w:r w:rsidRPr="0091293D">
        <w:t xml:space="preserve">Goetsch, D. L. (2014). </w:t>
      </w:r>
      <w:r w:rsidRPr="0091293D">
        <w:rPr>
          <w:i/>
          <w:iCs/>
        </w:rPr>
        <w:t>Project Management for Engineering and Technology</w:t>
      </w:r>
      <w:r w:rsidRPr="0091293D">
        <w:t>. Pearson Education.</w:t>
      </w:r>
    </w:p>
    <w:p w14:paraId="544A5A68" w14:textId="1AB0F9A5" w:rsidR="0091293D" w:rsidRPr="0091293D" w:rsidRDefault="0091293D" w:rsidP="0091293D">
      <w:pPr>
        <w:pStyle w:val="NormalWeb"/>
        <w:spacing w:line="480" w:lineRule="auto"/>
        <w:ind w:left="720" w:hanging="720"/>
      </w:pPr>
      <w:r w:rsidRPr="0091293D">
        <w:rPr>
          <w:color w:val="222222"/>
          <w:shd w:val="clear" w:color="auto" w:fill="FFFFFF"/>
        </w:rPr>
        <w:t>Ramalingam, S. (2020). Subcontractor Selection Process Through Vendor Bids: A Case of An Outsourcing Service in Construction. </w:t>
      </w:r>
      <w:r w:rsidRPr="0091293D">
        <w:rPr>
          <w:i/>
          <w:iCs/>
          <w:color w:val="222222"/>
          <w:shd w:val="clear" w:color="auto" w:fill="FFFFFF"/>
        </w:rPr>
        <w:t>IIM Kozhikode Society &amp; Management Review</w:t>
      </w:r>
      <w:r w:rsidRPr="0091293D">
        <w:rPr>
          <w:color w:val="222222"/>
          <w:shd w:val="clear" w:color="auto" w:fill="FFFFFF"/>
        </w:rPr>
        <w:t>, </w:t>
      </w:r>
      <w:r w:rsidRPr="0091293D">
        <w:rPr>
          <w:i/>
          <w:iCs/>
          <w:color w:val="222222"/>
          <w:shd w:val="clear" w:color="auto" w:fill="FFFFFF"/>
        </w:rPr>
        <w:t>9</w:t>
      </w:r>
      <w:r w:rsidRPr="0091293D">
        <w:rPr>
          <w:color w:val="222222"/>
          <w:shd w:val="clear" w:color="auto" w:fill="FFFFFF"/>
        </w:rPr>
        <w:t>(2), 129-142.</w:t>
      </w:r>
    </w:p>
    <w:p w14:paraId="5ECC0318" w14:textId="77777777" w:rsidR="007A5281" w:rsidRPr="007A5281" w:rsidRDefault="007A5281" w:rsidP="007A5281">
      <w:pPr>
        <w:spacing w:after="0" w:line="480" w:lineRule="auto"/>
        <w:ind w:left="567" w:hanging="567"/>
        <w:rPr>
          <w:rFonts w:ascii="Times New Roman" w:hAnsi="Times New Roman" w:cs="Times New Roman"/>
          <w:sz w:val="24"/>
          <w:szCs w:val="24"/>
        </w:rPr>
      </w:pPr>
    </w:p>
    <w:p w14:paraId="465B6D82" w14:textId="77777777" w:rsidR="007A5281" w:rsidRPr="007A5281" w:rsidRDefault="007A5281" w:rsidP="007A5281">
      <w:pPr>
        <w:spacing w:after="0" w:line="480" w:lineRule="auto"/>
        <w:ind w:left="567" w:hanging="567"/>
        <w:rPr>
          <w:rFonts w:ascii="Times New Roman" w:hAnsi="Times New Roman" w:cs="Times New Roman"/>
          <w:sz w:val="24"/>
          <w:szCs w:val="24"/>
        </w:rPr>
      </w:pPr>
    </w:p>
    <w:p w14:paraId="3B56E647" w14:textId="77777777" w:rsidR="007A5281" w:rsidRPr="00A94D4D" w:rsidRDefault="007A5281" w:rsidP="00A77762">
      <w:pPr>
        <w:spacing w:after="0" w:line="480" w:lineRule="auto"/>
        <w:ind w:firstLine="567"/>
        <w:rPr>
          <w:rFonts w:ascii="Times New Roman" w:hAnsi="Times New Roman" w:cs="Times New Roman"/>
          <w:sz w:val="24"/>
          <w:szCs w:val="24"/>
        </w:rPr>
      </w:pPr>
    </w:p>
    <w:sectPr w:rsidR="007A5281" w:rsidRPr="00A94D4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890AEE" w14:textId="77777777" w:rsidR="00504A2D" w:rsidRDefault="00504A2D" w:rsidP="00CE6890">
      <w:pPr>
        <w:spacing w:after="0" w:line="240" w:lineRule="auto"/>
      </w:pPr>
      <w:r>
        <w:separator/>
      </w:r>
    </w:p>
  </w:endnote>
  <w:endnote w:type="continuationSeparator" w:id="0">
    <w:p w14:paraId="4648A0CB" w14:textId="77777777" w:rsidR="00504A2D" w:rsidRDefault="00504A2D" w:rsidP="00CE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6C9B5C" w14:textId="77777777" w:rsidR="00504A2D" w:rsidRDefault="00504A2D" w:rsidP="00CE6890">
      <w:pPr>
        <w:spacing w:after="0" w:line="240" w:lineRule="auto"/>
      </w:pPr>
      <w:r>
        <w:separator/>
      </w:r>
    </w:p>
  </w:footnote>
  <w:footnote w:type="continuationSeparator" w:id="0">
    <w:p w14:paraId="71714898" w14:textId="77777777" w:rsidR="00504A2D" w:rsidRDefault="00504A2D" w:rsidP="00CE6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9DAC1" w14:textId="77777777" w:rsidR="00CE6890" w:rsidRPr="008F1C81" w:rsidRDefault="00CE6890" w:rsidP="00CE6890">
    <w:pPr>
      <w:pStyle w:val="Header"/>
      <w:jc w:val="center"/>
      <w:rPr>
        <w:rFonts w:ascii="Arial" w:hAnsi="Arial" w:cs="Arial"/>
      </w:rPr>
    </w:pPr>
    <w:r w:rsidRPr="008F1C81">
      <w:rPr>
        <w:rFonts w:ascii="Arial" w:hAnsi="Arial" w:cs="Arial"/>
      </w:rPr>
      <w:t>Unit V</w:t>
    </w:r>
    <w:r w:rsidR="008F1C81" w:rsidRPr="008F1C81">
      <w:rPr>
        <w:rFonts w:ascii="Arial" w:hAnsi="Arial" w:cs="Arial"/>
      </w:rPr>
      <w:t xml:space="preserve">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890"/>
    <w:rsid w:val="00047A82"/>
    <w:rsid w:val="000839BF"/>
    <w:rsid w:val="000B1886"/>
    <w:rsid w:val="001504EF"/>
    <w:rsid w:val="001A3E0F"/>
    <w:rsid w:val="0035697B"/>
    <w:rsid w:val="0037660E"/>
    <w:rsid w:val="00377A17"/>
    <w:rsid w:val="00386A32"/>
    <w:rsid w:val="004D5105"/>
    <w:rsid w:val="00504A2D"/>
    <w:rsid w:val="00636948"/>
    <w:rsid w:val="00647FA8"/>
    <w:rsid w:val="00671471"/>
    <w:rsid w:val="00747BCE"/>
    <w:rsid w:val="007A5281"/>
    <w:rsid w:val="00882CB4"/>
    <w:rsid w:val="008F1C81"/>
    <w:rsid w:val="0090126F"/>
    <w:rsid w:val="0091293D"/>
    <w:rsid w:val="009376AE"/>
    <w:rsid w:val="009F780E"/>
    <w:rsid w:val="00A06AEB"/>
    <w:rsid w:val="00A45AAE"/>
    <w:rsid w:val="00A77762"/>
    <w:rsid w:val="00A94D4D"/>
    <w:rsid w:val="00B22193"/>
    <w:rsid w:val="00BC572F"/>
    <w:rsid w:val="00CC6962"/>
    <w:rsid w:val="00CE6890"/>
    <w:rsid w:val="00CF2C5C"/>
    <w:rsid w:val="00D96A60"/>
    <w:rsid w:val="00F454A1"/>
    <w:rsid w:val="00F87C0B"/>
    <w:rsid w:val="00FE5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F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890"/>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890"/>
  </w:style>
  <w:style w:type="paragraph" w:styleId="Footer">
    <w:name w:val="footer"/>
    <w:basedOn w:val="Normal"/>
    <w:link w:val="FooterChar"/>
    <w:uiPriority w:val="99"/>
    <w:unhideWhenUsed/>
    <w:rsid w:val="00CE6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890"/>
  </w:style>
  <w:style w:type="paragraph" w:styleId="NormalWeb">
    <w:name w:val="Normal (Web)"/>
    <w:basedOn w:val="Normal"/>
    <w:uiPriority w:val="99"/>
    <w:semiHidden/>
    <w:unhideWhenUsed/>
    <w:rsid w:val="007A5281"/>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890"/>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890"/>
  </w:style>
  <w:style w:type="paragraph" w:styleId="Footer">
    <w:name w:val="footer"/>
    <w:basedOn w:val="Normal"/>
    <w:link w:val="FooterChar"/>
    <w:uiPriority w:val="99"/>
    <w:unhideWhenUsed/>
    <w:rsid w:val="00CE6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890"/>
  </w:style>
  <w:style w:type="paragraph" w:styleId="NormalWeb">
    <w:name w:val="Normal (Web)"/>
    <w:basedOn w:val="Normal"/>
    <w:uiPriority w:val="99"/>
    <w:semiHidden/>
    <w:unhideWhenUsed/>
    <w:rsid w:val="007A5281"/>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20162">
      <w:bodyDiv w:val="1"/>
      <w:marLeft w:val="0"/>
      <w:marRight w:val="0"/>
      <w:marTop w:val="0"/>
      <w:marBottom w:val="0"/>
      <w:divBdr>
        <w:top w:val="none" w:sz="0" w:space="0" w:color="auto"/>
        <w:left w:val="none" w:sz="0" w:space="0" w:color="auto"/>
        <w:bottom w:val="none" w:sz="0" w:space="0" w:color="auto"/>
        <w:right w:val="none" w:sz="0" w:space="0" w:color="auto"/>
      </w:divBdr>
    </w:div>
    <w:div w:id="1093015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2020-09-02T02:34:00Z</dcterms:created>
  <dcterms:modified xsi:type="dcterms:W3CDTF">2020-09-02T02:34:00Z</dcterms:modified>
</cp:coreProperties>
</file>