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585" w:rsidRDefault="00CC4585" w:rsidP="00632619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585" w:rsidRDefault="00CC4585" w:rsidP="00CC4585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585" w:rsidRDefault="00CC4585" w:rsidP="00CC4585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585" w:rsidRDefault="00CC4585" w:rsidP="00CC4585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585" w:rsidRDefault="00CC4585" w:rsidP="00CC4585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6E2" w:rsidRDefault="008076E2" w:rsidP="00CC4585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6E2" w:rsidRDefault="008076E2" w:rsidP="00CC4585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585" w:rsidRPr="00E175B8" w:rsidRDefault="008076E2" w:rsidP="00CC4585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Endorsement of a B</w:t>
      </w:r>
      <w:r w:rsidR="003A531A" w:rsidRPr="00E175B8">
        <w:rPr>
          <w:rFonts w:ascii="Times New Roman" w:hAnsi="Times New Roman" w:cs="Times New Roman"/>
          <w:b/>
          <w:sz w:val="24"/>
          <w:szCs w:val="24"/>
        </w:rPr>
        <w:t xml:space="preserve">ill of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3A531A" w:rsidRPr="00E175B8">
        <w:rPr>
          <w:rFonts w:ascii="Times New Roman" w:hAnsi="Times New Roman" w:cs="Times New Roman"/>
          <w:b/>
          <w:sz w:val="24"/>
          <w:szCs w:val="24"/>
        </w:rPr>
        <w:t>xchange</w:t>
      </w:r>
    </w:p>
    <w:p w:rsidR="00CC4585" w:rsidRPr="00CC4585" w:rsidRDefault="003A531A" w:rsidP="00632619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CC4585">
        <w:rPr>
          <w:rFonts w:ascii="Times New Roman" w:hAnsi="Times New Roman" w:cs="Times New Roman"/>
          <w:sz w:val="24"/>
          <w:szCs w:val="24"/>
        </w:rPr>
        <w:t>Name</w:t>
      </w:r>
    </w:p>
    <w:p w:rsidR="00CC4585" w:rsidRPr="00CC4585" w:rsidRDefault="003A531A" w:rsidP="00632619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CC4585">
        <w:rPr>
          <w:rFonts w:ascii="Times New Roman" w:hAnsi="Times New Roman" w:cs="Times New Roman"/>
          <w:sz w:val="24"/>
          <w:szCs w:val="24"/>
        </w:rPr>
        <w:t>Institution</w:t>
      </w:r>
    </w:p>
    <w:p w:rsidR="00CC4585" w:rsidRPr="00CC4585" w:rsidRDefault="003A531A" w:rsidP="00632619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CC4585">
        <w:rPr>
          <w:rFonts w:ascii="Times New Roman" w:hAnsi="Times New Roman" w:cs="Times New Roman"/>
          <w:sz w:val="24"/>
          <w:szCs w:val="24"/>
        </w:rPr>
        <w:t>Instructor’s Name</w:t>
      </w:r>
    </w:p>
    <w:p w:rsidR="00CC4585" w:rsidRPr="00CC4585" w:rsidRDefault="003A531A" w:rsidP="00632619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CC4585">
        <w:rPr>
          <w:rFonts w:ascii="Times New Roman" w:hAnsi="Times New Roman" w:cs="Times New Roman"/>
          <w:sz w:val="24"/>
          <w:szCs w:val="24"/>
        </w:rPr>
        <w:t>Course Name</w:t>
      </w:r>
    </w:p>
    <w:p w:rsidR="00CC4585" w:rsidRPr="00CC4585" w:rsidRDefault="003A531A" w:rsidP="00632619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CC4585">
        <w:rPr>
          <w:rFonts w:ascii="Times New Roman" w:hAnsi="Times New Roman" w:cs="Times New Roman"/>
          <w:sz w:val="24"/>
          <w:szCs w:val="24"/>
        </w:rPr>
        <w:t>Date</w:t>
      </w:r>
    </w:p>
    <w:p w:rsidR="00CC4585" w:rsidRDefault="00CC4585" w:rsidP="00632619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585" w:rsidRDefault="00CC4585" w:rsidP="00632619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585" w:rsidRDefault="00CC4585" w:rsidP="008076E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8076E2" w:rsidRPr="005A21D5" w:rsidRDefault="008076E2" w:rsidP="008076E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A21D5" w:rsidRPr="005A21D5" w:rsidRDefault="008076E2" w:rsidP="005A21D5">
      <w:pPr>
        <w:tabs>
          <w:tab w:val="left" w:pos="2085"/>
          <w:tab w:val="center" w:pos="5040"/>
        </w:tabs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Endorsement of a Bi</w:t>
      </w:r>
      <w:r w:rsidR="003A531A" w:rsidRPr="005A21D5">
        <w:rPr>
          <w:rFonts w:ascii="Times New Roman" w:hAnsi="Times New Roman" w:cs="Times New Roman"/>
          <w:b/>
          <w:sz w:val="24"/>
          <w:szCs w:val="24"/>
        </w:rPr>
        <w:t>ll of Exchange</w:t>
      </w:r>
    </w:p>
    <w:p w:rsidR="005A21D5" w:rsidRPr="005A21D5" w:rsidRDefault="003A531A" w:rsidP="005A21D5">
      <w:pPr>
        <w:tabs>
          <w:tab w:val="left" w:pos="2085"/>
          <w:tab w:val="center" w:pos="5040"/>
        </w:tabs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A21D5">
        <w:rPr>
          <w:rFonts w:ascii="Times New Roman" w:hAnsi="Times New Roman" w:cs="Times New Roman"/>
          <w:sz w:val="24"/>
          <w:szCs w:val="24"/>
        </w:rPr>
        <w:t xml:space="preserve">On the off chance that the holder of the bill signs the rear of the bill with the expectation of moving the property </w:t>
      </w:r>
      <w:r w:rsidRPr="005A21D5">
        <w:rPr>
          <w:rFonts w:ascii="Times New Roman" w:hAnsi="Times New Roman" w:cs="Times New Roman"/>
          <w:sz w:val="24"/>
          <w:szCs w:val="24"/>
        </w:rPr>
        <w:t>contained in it, the option to get cash from the acceptor, he could become endorser, and the individual to whom the bill of trade is mo</w:t>
      </w:r>
      <w:r w:rsidR="007E10F8">
        <w:rPr>
          <w:rFonts w:ascii="Times New Roman" w:hAnsi="Times New Roman" w:cs="Times New Roman"/>
          <w:sz w:val="24"/>
          <w:szCs w:val="24"/>
        </w:rPr>
        <w:t>ved becomes endorsee. To endorse</w:t>
      </w:r>
      <w:r w:rsidRPr="005A21D5">
        <w:rPr>
          <w:rFonts w:ascii="Times New Roman" w:hAnsi="Times New Roman" w:cs="Times New Roman"/>
          <w:sz w:val="24"/>
          <w:szCs w:val="24"/>
        </w:rPr>
        <w:t xml:space="preserve"> is the cycle by which a bill is moved starting with one individual then onto the next to</w:t>
      </w:r>
      <w:r w:rsidRPr="005A21D5">
        <w:rPr>
          <w:rFonts w:ascii="Times New Roman" w:hAnsi="Times New Roman" w:cs="Times New Roman"/>
          <w:sz w:val="24"/>
          <w:szCs w:val="24"/>
        </w:rPr>
        <w:t xml:space="preserve"> settle obligations. One thing to remember is that when a bill is limited or supported, it is not, at this point considered the property of the in</w:t>
      </w:r>
      <w:r w:rsidR="007E10F8">
        <w:rPr>
          <w:rFonts w:ascii="Times New Roman" w:hAnsi="Times New Roman" w:cs="Times New Roman"/>
          <w:sz w:val="24"/>
          <w:szCs w:val="24"/>
        </w:rPr>
        <w:t>dividual who limited or endorsed</w:t>
      </w:r>
      <w:r w:rsidRPr="005A21D5">
        <w:rPr>
          <w:rFonts w:ascii="Times New Roman" w:hAnsi="Times New Roman" w:cs="Times New Roman"/>
          <w:sz w:val="24"/>
          <w:szCs w:val="24"/>
        </w:rPr>
        <w:t xml:space="preserve"> it, and the bill receivable record is discounted because it is not, at this p</w:t>
      </w:r>
      <w:r w:rsidRPr="005A21D5">
        <w:rPr>
          <w:rFonts w:ascii="Times New Roman" w:hAnsi="Times New Roman" w:cs="Times New Roman"/>
          <w:sz w:val="24"/>
          <w:szCs w:val="24"/>
        </w:rPr>
        <w:t>oint</w:t>
      </w:r>
      <w:r w:rsidR="007E10F8">
        <w:rPr>
          <w:rFonts w:ascii="Times New Roman" w:hAnsi="Times New Roman" w:cs="Times New Roman"/>
          <w:sz w:val="24"/>
          <w:szCs w:val="24"/>
        </w:rPr>
        <w:t xml:space="preserve"> receivable. T</w:t>
      </w:r>
      <w:r w:rsidRPr="005A21D5">
        <w:rPr>
          <w:rFonts w:ascii="Times New Roman" w:hAnsi="Times New Roman" w:cs="Times New Roman"/>
          <w:sz w:val="24"/>
          <w:szCs w:val="24"/>
        </w:rPr>
        <w:t>here is one chance in which he could in any case be influenced by the bill, specifically the individual fundamentally responsible for inst</w:t>
      </w:r>
      <w:r>
        <w:rPr>
          <w:rFonts w:ascii="Times New Roman" w:hAnsi="Times New Roman" w:cs="Times New Roman"/>
          <w:sz w:val="24"/>
          <w:szCs w:val="24"/>
        </w:rPr>
        <w:t xml:space="preserve">allment (Peráček et al, 2020). </w:t>
      </w:r>
    </w:p>
    <w:p w:rsidR="005A21D5" w:rsidRPr="005A21D5" w:rsidRDefault="003A531A" w:rsidP="005A21D5">
      <w:pPr>
        <w:tabs>
          <w:tab w:val="left" w:pos="2085"/>
          <w:tab w:val="center" w:pos="5040"/>
        </w:tabs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A21D5">
        <w:rPr>
          <w:rFonts w:ascii="Times New Roman" w:hAnsi="Times New Roman" w:cs="Times New Roman"/>
          <w:sz w:val="24"/>
          <w:szCs w:val="24"/>
        </w:rPr>
        <w:t xml:space="preserve">At the point when the </w:t>
      </w:r>
      <w:r w:rsidR="007E10F8" w:rsidRPr="005A21D5">
        <w:rPr>
          <w:rFonts w:ascii="Times New Roman" w:hAnsi="Times New Roman" w:cs="Times New Roman"/>
          <w:sz w:val="24"/>
          <w:szCs w:val="24"/>
        </w:rPr>
        <w:t>acceptor of a bill of trade wills</w:t>
      </w:r>
      <w:r w:rsidRPr="005A21D5">
        <w:rPr>
          <w:rFonts w:ascii="Times New Roman" w:hAnsi="Times New Roman" w:cs="Times New Roman"/>
          <w:sz w:val="24"/>
          <w:szCs w:val="24"/>
        </w:rPr>
        <w:t xml:space="preserve">, not </w:t>
      </w:r>
      <w:r w:rsidRPr="005A21D5">
        <w:rPr>
          <w:rFonts w:ascii="Times New Roman" w:hAnsi="Times New Roman" w:cs="Times New Roman"/>
          <w:sz w:val="24"/>
          <w:szCs w:val="24"/>
        </w:rPr>
        <w:t>compensate the measure of the bill to the holder of the bill when it develops, the bil</w:t>
      </w:r>
      <w:r w:rsidR="007E10F8">
        <w:rPr>
          <w:rFonts w:ascii="Times New Roman" w:hAnsi="Times New Roman" w:cs="Times New Roman"/>
          <w:sz w:val="24"/>
          <w:szCs w:val="24"/>
        </w:rPr>
        <w:t>l is supposed to be dishonored</w:t>
      </w:r>
      <w:r w:rsidRPr="005A21D5">
        <w:rPr>
          <w:rFonts w:ascii="Times New Roman" w:hAnsi="Times New Roman" w:cs="Times New Roman"/>
          <w:sz w:val="24"/>
          <w:szCs w:val="24"/>
        </w:rPr>
        <w:t>. The bill is then delivered ineffectually, and the gathering from whom it was gotten is committed to paying the sum. It is basic to compreh</w:t>
      </w:r>
      <w:r w:rsidRPr="005A21D5">
        <w:rPr>
          <w:rFonts w:ascii="Times New Roman" w:hAnsi="Times New Roman" w:cs="Times New Roman"/>
          <w:sz w:val="24"/>
          <w:szCs w:val="24"/>
        </w:rPr>
        <w:t>end who was in control of a bill whe</w:t>
      </w:r>
      <w:r w:rsidR="007E10F8">
        <w:rPr>
          <w:rFonts w:ascii="Times New Roman" w:hAnsi="Times New Roman" w:cs="Times New Roman"/>
          <w:sz w:val="24"/>
          <w:szCs w:val="24"/>
        </w:rPr>
        <w:t>n it was dishonored</w:t>
      </w:r>
      <w:r w:rsidRPr="005A21D5">
        <w:rPr>
          <w:rFonts w:ascii="Times New Roman" w:hAnsi="Times New Roman" w:cs="Times New Roman"/>
          <w:sz w:val="24"/>
          <w:szCs w:val="24"/>
        </w:rPr>
        <w:t>. The public will charge a little expense for this help from the holder of the bill. This expense is k</w:t>
      </w:r>
      <w:r w:rsidR="007E10F8">
        <w:rPr>
          <w:rFonts w:ascii="Times New Roman" w:hAnsi="Times New Roman" w:cs="Times New Roman"/>
          <w:sz w:val="24"/>
          <w:szCs w:val="24"/>
        </w:rPr>
        <w:t>nown as "noting charges</w:t>
      </w:r>
      <w:r w:rsidRPr="005A21D5">
        <w:rPr>
          <w:rFonts w:ascii="Times New Roman" w:hAnsi="Times New Roman" w:cs="Times New Roman"/>
          <w:sz w:val="24"/>
          <w:szCs w:val="24"/>
        </w:rPr>
        <w:t xml:space="preserve">" and it is consistently recoverable from the gathering </w:t>
      </w:r>
      <w:r w:rsidR="007E10F8" w:rsidRPr="005A21D5">
        <w:rPr>
          <w:rFonts w:ascii="Times New Roman" w:hAnsi="Times New Roman" w:cs="Times New Roman"/>
          <w:sz w:val="24"/>
          <w:szCs w:val="24"/>
        </w:rPr>
        <w:t>that</w:t>
      </w:r>
      <w:r w:rsidRPr="005A21D5">
        <w:rPr>
          <w:rFonts w:ascii="Times New Roman" w:hAnsi="Times New Roman" w:cs="Times New Roman"/>
          <w:sz w:val="24"/>
          <w:szCs w:val="24"/>
        </w:rPr>
        <w:t xml:space="preserve"> is l</w:t>
      </w:r>
      <w:r w:rsidR="007E10F8">
        <w:rPr>
          <w:rFonts w:ascii="Times New Roman" w:hAnsi="Times New Roman" w:cs="Times New Roman"/>
          <w:sz w:val="24"/>
          <w:szCs w:val="24"/>
        </w:rPr>
        <w:t>iable for the dishonored</w:t>
      </w:r>
      <w:r>
        <w:rPr>
          <w:rFonts w:ascii="Times New Roman" w:hAnsi="Times New Roman" w:cs="Times New Roman"/>
          <w:sz w:val="24"/>
          <w:szCs w:val="24"/>
        </w:rPr>
        <w:t xml:space="preserve"> exchange. </w:t>
      </w:r>
    </w:p>
    <w:p w:rsidR="005A21D5" w:rsidRPr="005A21D5" w:rsidRDefault="003A531A" w:rsidP="005A21D5">
      <w:pPr>
        <w:tabs>
          <w:tab w:val="left" w:pos="2085"/>
          <w:tab w:val="center" w:pos="5040"/>
        </w:tabs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bill acceptor cannot</w:t>
      </w:r>
      <w:r w:rsidRPr="005A21D5">
        <w:rPr>
          <w:rFonts w:ascii="Times New Roman" w:hAnsi="Times New Roman" w:cs="Times New Roman"/>
          <w:sz w:val="24"/>
          <w:szCs w:val="24"/>
        </w:rPr>
        <w:t xml:space="preserve"> meet his a</w:t>
      </w:r>
      <w:r>
        <w:rPr>
          <w:rFonts w:ascii="Times New Roman" w:hAnsi="Times New Roman" w:cs="Times New Roman"/>
          <w:sz w:val="24"/>
          <w:szCs w:val="24"/>
        </w:rPr>
        <w:t>cknowledgment on the due date, t</w:t>
      </w:r>
      <w:r w:rsidRPr="005A21D5">
        <w:rPr>
          <w:rFonts w:ascii="Times New Roman" w:hAnsi="Times New Roman" w:cs="Times New Roman"/>
          <w:sz w:val="24"/>
          <w:szCs w:val="24"/>
        </w:rPr>
        <w:t>herefore, he may move toward the bill's cabinet before the development date shows up to drop the old bil</w:t>
      </w:r>
      <w:r>
        <w:rPr>
          <w:rFonts w:ascii="Times New Roman" w:hAnsi="Times New Roman" w:cs="Times New Roman"/>
          <w:sz w:val="24"/>
          <w:szCs w:val="24"/>
        </w:rPr>
        <w:t xml:space="preserve">l and draw another bill with a broad </w:t>
      </w:r>
      <w:bookmarkStart w:id="0" w:name="_GoBack"/>
      <w:bookmarkEnd w:id="0"/>
      <w:r w:rsidRPr="005A21D5">
        <w:rPr>
          <w:rFonts w:ascii="Times New Roman" w:hAnsi="Times New Roman" w:cs="Times New Roman"/>
          <w:sz w:val="24"/>
          <w:szCs w:val="24"/>
        </w:rPr>
        <w:t>development date. For thi</w:t>
      </w:r>
      <w:r w:rsidRPr="005A21D5">
        <w:rPr>
          <w:rFonts w:ascii="Times New Roman" w:hAnsi="Times New Roman" w:cs="Times New Roman"/>
          <w:sz w:val="24"/>
          <w:szCs w:val="24"/>
        </w:rPr>
        <w:t>s situatio</w:t>
      </w:r>
      <w:r>
        <w:rPr>
          <w:rFonts w:ascii="Times New Roman" w:hAnsi="Times New Roman" w:cs="Times New Roman"/>
          <w:sz w:val="24"/>
          <w:szCs w:val="24"/>
        </w:rPr>
        <w:t>n, the acceptor must</w:t>
      </w:r>
      <w:r w:rsidRPr="005A21D5">
        <w:rPr>
          <w:rFonts w:ascii="Times New Roman" w:hAnsi="Times New Roman" w:cs="Times New Roman"/>
          <w:sz w:val="24"/>
          <w:szCs w:val="24"/>
        </w:rPr>
        <w:t xml:space="preserve"> pay interest for the all-encompassing period. Subsequently, the old bill development is dropped in return for another bill. There are more approaches to reestablish a bill of trade which are: The acceptor </w:t>
      </w:r>
      <w:r w:rsidRPr="005A21D5">
        <w:rPr>
          <w:rFonts w:ascii="Times New Roman" w:hAnsi="Times New Roman" w:cs="Times New Roman"/>
          <w:sz w:val="24"/>
          <w:szCs w:val="24"/>
        </w:rPr>
        <w:lastRenderedPageBreak/>
        <w:t xml:space="preserve">pays the premium in </w:t>
      </w:r>
      <w:r w:rsidRPr="005A21D5">
        <w:rPr>
          <w:rFonts w:ascii="Times New Roman" w:hAnsi="Times New Roman" w:cs="Times New Roman"/>
          <w:sz w:val="24"/>
          <w:szCs w:val="24"/>
        </w:rPr>
        <w:t>real money, and another bill equivalent to the measure of the old bill is acknowledged, or they pay a segment of the bill in real money and acknowledge another bill for the leftover equilibrium in addit</w:t>
      </w:r>
      <w:r>
        <w:rPr>
          <w:rFonts w:ascii="Times New Roman" w:hAnsi="Times New Roman" w:cs="Times New Roman"/>
          <w:sz w:val="24"/>
          <w:szCs w:val="24"/>
        </w:rPr>
        <w:t xml:space="preserve">ion to premium (Sharma, 2012). </w:t>
      </w:r>
    </w:p>
    <w:p w:rsidR="005A21D5" w:rsidRPr="005A21D5" w:rsidRDefault="003A531A" w:rsidP="005A21D5">
      <w:pPr>
        <w:tabs>
          <w:tab w:val="left" w:pos="2085"/>
          <w:tab w:val="center" w:pos="5040"/>
        </w:tabs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1D5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DF656D" w:rsidRPr="005A21D5" w:rsidRDefault="003A531A" w:rsidP="005A21D5">
      <w:pPr>
        <w:tabs>
          <w:tab w:val="left" w:pos="2085"/>
          <w:tab w:val="center" w:pos="5040"/>
        </w:tabs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A21D5">
        <w:rPr>
          <w:rFonts w:ascii="Times New Roman" w:hAnsi="Times New Roman" w:cs="Times New Roman"/>
          <w:sz w:val="24"/>
          <w:szCs w:val="24"/>
        </w:rPr>
        <w:t>At the poin</w:t>
      </w:r>
      <w:r w:rsidRPr="005A21D5">
        <w:rPr>
          <w:rFonts w:ascii="Times New Roman" w:hAnsi="Times New Roman" w:cs="Times New Roman"/>
          <w:sz w:val="24"/>
          <w:szCs w:val="24"/>
        </w:rPr>
        <w:t>t when a bill is introduced to the acceptor by the holder on the due date and the acceptor will not meet the bill, t</w:t>
      </w:r>
      <w:r>
        <w:rPr>
          <w:rFonts w:ascii="Times New Roman" w:hAnsi="Times New Roman" w:cs="Times New Roman"/>
          <w:sz w:val="24"/>
          <w:szCs w:val="24"/>
        </w:rPr>
        <w:t>his is an instance of bill dishonor</w:t>
      </w:r>
      <w:r w:rsidRPr="005A21D5">
        <w:rPr>
          <w:rFonts w:ascii="Times New Roman" w:hAnsi="Times New Roman" w:cs="Times New Roman"/>
          <w:sz w:val="24"/>
          <w:szCs w:val="24"/>
        </w:rPr>
        <w:t xml:space="preserve">. On the off chance that then again, the acceptor moves toward the cabinet himself and shows his failure </w:t>
      </w:r>
      <w:r w:rsidRPr="005A21D5">
        <w:rPr>
          <w:rFonts w:ascii="Times New Roman" w:hAnsi="Times New Roman" w:cs="Times New Roman"/>
          <w:sz w:val="24"/>
          <w:szCs w:val="24"/>
        </w:rPr>
        <w:t>to meet the bill and demands that the cabinet drops the old bill and draws him another bill for an all-inclusive period, this is an instance of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21D5">
        <w:rPr>
          <w:rFonts w:ascii="Times New Roman" w:hAnsi="Times New Roman" w:cs="Times New Roman"/>
          <w:sz w:val="24"/>
          <w:szCs w:val="24"/>
        </w:rPr>
        <w:t xml:space="preserve"> reestablishment.</w:t>
      </w:r>
      <w:r w:rsidRPr="005A21D5">
        <w:rPr>
          <w:rFonts w:ascii="Times New Roman" w:hAnsi="Times New Roman" w:cs="Times New Roman"/>
          <w:sz w:val="24"/>
          <w:szCs w:val="24"/>
        </w:rPr>
        <w:tab/>
      </w:r>
    </w:p>
    <w:p w:rsidR="00E175B8" w:rsidRPr="00E175B8" w:rsidRDefault="00E175B8" w:rsidP="0063261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175B8" w:rsidRPr="00E175B8" w:rsidRDefault="00E175B8" w:rsidP="0063261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175B8" w:rsidRPr="00E175B8" w:rsidRDefault="00E175B8" w:rsidP="0063261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175B8" w:rsidRPr="00E175B8" w:rsidRDefault="00E175B8" w:rsidP="0063261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175B8" w:rsidRPr="00E175B8" w:rsidRDefault="00E175B8" w:rsidP="0063261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175B8" w:rsidRPr="00E175B8" w:rsidRDefault="00E175B8" w:rsidP="0063261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175B8" w:rsidRPr="00E175B8" w:rsidRDefault="00E175B8" w:rsidP="0063261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175B8" w:rsidRPr="00E175B8" w:rsidRDefault="00E175B8" w:rsidP="0063261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175B8" w:rsidRDefault="00E175B8" w:rsidP="00E175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5B8" w:rsidRPr="00E175B8" w:rsidRDefault="00E175B8" w:rsidP="005A21D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5B8" w:rsidRDefault="003A531A" w:rsidP="00E175B8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5B8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E175B8" w:rsidRDefault="003A531A" w:rsidP="00E175B8">
      <w:pPr>
        <w:spacing w:line="48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175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Peráček, T., Mucha, B., &amp;</w:t>
      </w:r>
      <w:r w:rsidRPr="00E175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Brestovanská, P. (2020). Bill of Exchange and Its Application Problems in the Slovak Republic. In </w:t>
      </w:r>
      <w:r w:rsidRPr="00E175B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Finance and Sustainability</w:t>
      </w:r>
      <w:r w:rsidRPr="00E175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225-236). Springer, Cham.</w:t>
      </w:r>
    </w:p>
    <w:p w:rsidR="00BA3E58" w:rsidRPr="00E175B8" w:rsidRDefault="003A531A" w:rsidP="00E175B8">
      <w:pPr>
        <w:spacing w:line="48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A3E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Sharma, A. (2012). An Analysis of Promissory Note and Bill of Exchange Under Negotiable Instrument </w:t>
      </w:r>
      <w:r w:rsidRPr="00BA3E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Act, 1881. Available at SSRN 2003623.</w:t>
      </w:r>
    </w:p>
    <w:tbl>
      <w:tblPr>
        <w:tblW w:w="65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14"/>
        <w:gridCol w:w="156"/>
      </w:tblGrid>
      <w:tr w:rsidR="00D457FD" w:rsidTr="00E175B8">
        <w:tc>
          <w:tcPr>
            <w:tcW w:w="0" w:type="auto"/>
            <w:shd w:val="clear" w:color="auto" w:fill="FFFFFF"/>
            <w:noWrap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E175B8" w:rsidRPr="00E175B8" w:rsidRDefault="00E175B8" w:rsidP="00E175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E175B8" w:rsidRPr="00E175B8" w:rsidRDefault="00E175B8" w:rsidP="00E175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</w:p>
        </w:tc>
      </w:tr>
    </w:tbl>
    <w:p w:rsidR="00E175B8" w:rsidRPr="00E175B8" w:rsidRDefault="00E175B8" w:rsidP="00E175B8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5B8" w:rsidRPr="00E175B8" w:rsidRDefault="00E175B8" w:rsidP="0063261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E175B8" w:rsidRPr="00E175B8" w:rsidSect="00D457F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31A" w:rsidRDefault="003A531A" w:rsidP="00D457FD">
      <w:pPr>
        <w:spacing w:after="0" w:line="240" w:lineRule="auto"/>
      </w:pPr>
      <w:r>
        <w:separator/>
      </w:r>
    </w:p>
  </w:endnote>
  <w:endnote w:type="continuationSeparator" w:id="1">
    <w:p w:rsidR="003A531A" w:rsidRDefault="003A531A" w:rsidP="00D45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31A" w:rsidRDefault="003A531A" w:rsidP="00D457FD">
      <w:pPr>
        <w:spacing w:after="0" w:line="240" w:lineRule="auto"/>
      </w:pPr>
      <w:r>
        <w:separator/>
      </w:r>
    </w:p>
  </w:footnote>
  <w:footnote w:type="continuationSeparator" w:id="1">
    <w:p w:rsidR="003A531A" w:rsidRDefault="003A531A" w:rsidP="00D45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028758"/>
      <w:docPartObj>
        <w:docPartGallery w:val="Page Numbers (Top of Page)"/>
        <w:docPartUnique/>
      </w:docPartObj>
    </w:sdtPr>
    <w:sdtEndPr>
      <w:rPr>
        <w:noProof/>
      </w:rPr>
    </w:sdtEndPr>
    <w:sdtContent>
      <w:p w:rsidR="00CC4585" w:rsidRDefault="00D457FD">
        <w:pPr>
          <w:pStyle w:val="Header"/>
          <w:jc w:val="right"/>
        </w:pPr>
        <w:r w:rsidRPr="008076E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A531A" w:rsidRPr="008076E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076E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076E2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8076E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CC4585" w:rsidRDefault="00CC458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278A"/>
    <w:rsid w:val="00117253"/>
    <w:rsid w:val="001E6E1E"/>
    <w:rsid w:val="003A531A"/>
    <w:rsid w:val="003C278A"/>
    <w:rsid w:val="004B1975"/>
    <w:rsid w:val="005A21D5"/>
    <w:rsid w:val="00632619"/>
    <w:rsid w:val="007E10F8"/>
    <w:rsid w:val="008076E2"/>
    <w:rsid w:val="00BA3E58"/>
    <w:rsid w:val="00CC4585"/>
    <w:rsid w:val="00D457FD"/>
    <w:rsid w:val="00DF656D"/>
    <w:rsid w:val="00E17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585"/>
  </w:style>
  <w:style w:type="paragraph" w:styleId="Footer">
    <w:name w:val="footer"/>
    <w:basedOn w:val="Normal"/>
    <w:link w:val="FooterChar"/>
    <w:uiPriority w:val="99"/>
    <w:unhideWhenUsed/>
    <w:rsid w:val="00CC4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5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</dc:creator>
  <cp:lastModifiedBy>Kevin</cp:lastModifiedBy>
  <cp:revision>2</cp:revision>
  <dcterms:created xsi:type="dcterms:W3CDTF">2021-03-29T12:17:00Z</dcterms:created>
  <dcterms:modified xsi:type="dcterms:W3CDTF">2021-03-29T12:17:00Z</dcterms:modified>
</cp:coreProperties>
</file>