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rPr>
          <w:rFonts w:ascii="Times New Roman" w:hAnsi="Times New Roman" w:cs="Times New Roman"/>
          <w:sz w:val="24"/>
          <w:szCs w:val="24"/>
        </w:rPr>
      </w:pPr>
    </w:p>
    <w:p w:rsidR="002A644A" w:rsidRPr="002619CD" w:rsidRDefault="002A644A" w:rsidP="002619CD">
      <w:pPr>
        <w:spacing w:line="480" w:lineRule="auto"/>
        <w:jc w:val="center"/>
        <w:rPr>
          <w:rFonts w:ascii="Times New Roman" w:hAnsi="Times New Roman" w:cs="Times New Roman"/>
          <w:sz w:val="24"/>
          <w:szCs w:val="24"/>
        </w:rPr>
      </w:pPr>
      <w:r w:rsidRPr="002619CD">
        <w:rPr>
          <w:rFonts w:ascii="Times New Roman" w:hAnsi="Times New Roman" w:cs="Times New Roman"/>
          <w:sz w:val="24"/>
          <w:szCs w:val="24"/>
        </w:rPr>
        <w:t>Biodetection of Intentional Threats</w:t>
      </w:r>
    </w:p>
    <w:p w:rsidR="002A644A" w:rsidRPr="002619CD" w:rsidRDefault="002A644A" w:rsidP="002619CD">
      <w:pPr>
        <w:spacing w:line="480" w:lineRule="auto"/>
        <w:jc w:val="center"/>
        <w:rPr>
          <w:rFonts w:ascii="Times New Roman" w:hAnsi="Times New Roman" w:cs="Times New Roman"/>
          <w:sz w:val="24"/>
          <w:szCs w:val="24"/>
        </w:rPr>
      </w:pPr>
      <w:r w:rsidRPr="002619CD">
        <w:rPr>
          <w:rFonts w:ascii="Times New Roman" w:hAnsi="Times New Roman" w:cs="Times New Roman"/>
          <w:sz w:val="24"/>
          <w:szCs w:val="24"/>
        </w:rPr>
        <w:t>Name of Student</w:t>
      </w:r>
    </w:p>
    <w:p w:rsidR="002A644A" w:rsidRPr="002619CD" w:rsidRDefault="002A644A" w:rsidP="002619CD">
      <w:pPr>
        <w:spacing w:line="480" w:lineRule="auto"/>
        <w:jc w:val="center"/>
        <w:rPr>
          <w:rFonts w:ascii="Times New Roman" w:hAnsi="Times New Roman" w:cs="Times New Roman"/>
          <w:sz w:val="24"/>
          <w:szCs w:val="24"/>
        </w:rPr>
      </w:pPr>
      <w:r w:rsidRPr="002619CD">
        <w:rPr>
          <w:rFonts w:ascii="Times New Roman" w:hAnsi="Times New Roman" w:cs="Times New Roman"/>
          <w:sz w:val="24"/>
          <w:szCs w:val="24"/>
        </w:rPr>
        <w:t>Name of Institution</w:t>
      </w:r>
    </w:p>
    <w:p w:rsidR="002A644A" w:rsidRPr="002619CD" w:rsidRDefault="002A644A" w:rsidP="002619CD">
      <w:pPr>
        <w:spacing w:line="480" w:lineRule="auto"/>
        <w:jc w:val="center"/>
        <w:rPr>
          <w:rFonts w:ascii="Times New Roman" w:hAnsi="Times New Roman" w:cs="Times New Roman"/>
          <w:sz w:val="24"/>
          <w:szCs w:val="24"/>
        </w:rPr>
      </w:pPr>
      <w:r w:rsidRPr="002619CD">
        <w:rPr>
          <w:rFonts w:ascii="Times New Roman" w:hAnsi="Times New Roman" w:cs="Times New Roman"/>
          <w:sz w:val="24"/>
          <w:szCs w:val="24"/>
        </w:rPr>
        <w:t xml:space="preserve">Date </w:t>
      </w:r>
      <w:r w:rsidRPr="002619CD">
        <w:rPr>
          <w:rFonts w:ascii="Times New Roman" w:hAnsi="Times New Roman" w:cs="Times New Roman"/>
          <w:sz w:val="24"/>
          <w:szCs w:val="24"/>
        </w:rPr>
        <w:br w:type="page"/>
      </w:r>
    </w:p>
    <w:p w:rsidR="00966E4D" w:rsidRPr="002619CD" w:rsidRDefault="002358D0"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lastRenderedPageBreak/>
        <w:t xml:space="preserve">My pick would be the syndromic surveillance. The system is developed innovatively improve and expand capabilities that make it possible to detect outbreaks early. The system is not restricted to biologic terrorism alone, and is applicable research, implementing patient safety, </w:t>
      </w:r>
      <w:r w:rsidR="002A644A" w:rsidRPr="002619CD">
        <w:rPr>
          <w:rFonts w:ascii="Times New Roman" w:hAnsi="Times New Roman" w:cs="Times New Roman"/>
          <w:sz w:val="24"/>
          <w:szCs w:val="24"/>
        </w:rPr>
        <w:t>and clinical</w:t>
      </w:r>
      <w:r w:rsidRPr="002619CD">
        <w:rPr>
          <w:rFonts w:ascii="Times New Roman" w:hAnsi="Times New Roman" w:cs="Times New Roman"/>
          <w:sz w:val="24"/>
          <w:szCs w:val="24"/>
        </w:rPr>
        <w:t xml:space="preserve"> medicine, public health, and improvement measures on quality. The basis of the system is built on improvements from the public health surveillance, but does not replace the technology effectively. Despite development of the system, there is a necessity for the direct physician consultation in the case of suspicious and unusual cases that are perceived important in the field of public health</w:t>
      </w:r>
      <w:r w:rsidR="00EB1468" w:rsidRPr="002619CD">
        <w:rPr>
          <w:rFonts w:ascii="Times New Roman" w:hAnsi="Times New Roman" w:cs="Times New Roman"/>
          <w:sz w:val="24"/>
          <w:szCs w:val="24"/>
        </w:rPr>
        <w:t xml:space="preserve"> </w:t>
      </w:r>
      <w:sdt>
        <w:sdtPr>
          <w:rPr>
            <w:rFonts w:ascii="Times New Roman" w:hAnsi="Times New Roman" w:cs="Times New Roman"/>
            <w:sz w:val="24"/>
            <w:szCs w:val="24"/>
          </w:rPr>
          <w:id w:val="583459641"/>
          <w:citation/>
        </w:sdtPr>
        <w:sdtContent>
          <w:r w:rsidR="00EB1468" w:rsidRPr="002619CD">
            <w:rPr>
              <w:rFonts w:ascii="Times New Roman" w:hAnsi="Times New Roman" w:cs="Times New Roman"/>
              <w:sz w:val="24"/>
              <w:szCs w:val="24"/>
            </w:rPr>
            <w:fldChar w:fldCharType="begin"/>
          </w:r>
          <w:r w:rsidR="00EB1468" w:rsidRPr="002619CD">
            <w:rPr>
              <w:rFonts w:ascii="Times New Roman" w:hAnsi="Times New Roman" w:cs="Times New Roman"/>
              <w:sz w:val="24"/>
              <w:szCs w:val="24"/>
            </w:rPr>
            <w:instrText xml:space="preserve"> CITATION Man03 \l 1033 </w:instrText>
          </w:r>
          <w:r w:rsidR="00EB1468" w:rsidRPr="002619CD">
            <w:rPr>
              <w:rFonts w:ascii="Times New Roman" w:hAnsi="Times New Roman" w:cs="Times New Roman"/>
              <w:sz w:val="24"/>
              <w:szCs w:val="24"/>
            </w:rPr>
            <w:fldChar w:fldCharType="separate"/>
          </w:r>
          <w:r w:rsidR="00EB1468" w:rsidRPr="002619CD">
            <w:rPr>
              <w:rFonts w:ascii="Times New Roman" w:hAnsi="Times New Roman" w:cs="Times New Roman"/>
              <w:noProof/>
              <w:sz w:val="24"/>
              <w:szCs w:val="24"/>
            </w:rPr>
            <w:t>(Mandi, et al., 2003)</w:t>
          </w:r>
          <w:r w:rsidR="00EB1468" w:rsidRPr="002619CD">
            <w:rPr>
              <w:rFonts w:ascii="Times New Roman" w:hAnsi="Times New Roman" w:cs="Times New Roman"/>
              <w:sz w:val="24"/>
              <w:szCs w:val="24"/>
            </w:rPr>
            <w:fldChar w:fldCharType="end"/>
          </w:r>
        </w:sdtContent>
      </w:sdt>
      <w:r w:rsidRPr="002619CD">
        <w:rPr>
          <w:rFonts w:ascii="Times New Roman" w:hAnsi="Times New Roman" w:cs="Times New Roman"/>
          <w:sz w:val="24"/>
          <w:szCs w:val="24"/>
        </w:rPr>
        <w:t xml:space="preserve">. </w:t>
      </w:r>
      <w:r w:rsidR="00392672" w:rsidRPr="002619CD">
        <w:rPr>
          <w:rFonts w:ascii="Times New Roman" w:hAnsi="Times New Roman" w:cs="Times New Roman"/>
          <w:sz w:val="24"/>
          <w:szCs w:val="24"/>
        </w:rPr>
        <w:t xml:space="preserve">The development of the syndromic surveillance is still underway with focus directed at the responsive protocols adopted, and methodologies employed in the detection of signals. Such advancements will prove crucial in maximizing the detection capabilities all the while ensuring no waste of resources. </w:t>
      </w:r>
    </w:p>
    <w:p w:rsidR="00033397" w:rsidRPr="002619CD" w:rsidRDefault="00392672"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t>The critical concept in the development of syndromic surveillance is for early detection of biological agents released in a large-scale amount. T</w:t>
      </w:r>
      <w:r w:rsidR="005F5689" w:rsidRPr="002619CD">
        <w:rPr>
          <w:rFonts w:ascii="Times New Roman" w:hAnsi="Times New Roman" w:cs="Times New Roman"/>
          <w:sz w:val="24"/>
          <w:szCs w:val="24"/>
        </w:rPr>
        <w:t>o</w:t>
      </w:r>
      <w:r w:rsidRPr="002619CD">
        <w:rPr>
          <w:rFonts w:ascii="Times New Roman" w:hAnsi="Times New Roman" w:cs="Times New Roman"/>
          <w:sz w:val="24"/>
          <w:szCs w:val="24"/>
        </w:rPr>
        <w:t xml:space="preserve"> this effect, spatial and temporal data are employed </w:t>
      </w:r>
      <w:r w:rsidR="005F5689" w:rsidRPr="002619CD">
        <w:rPr>
          <w:rFonts w:ascii="Times New Roman" w:hAnsi="Times New Roman" w:cs="Times New Roman"/>
          <w:sz w:val="24"/>
          <w:szCs w:val="24"/>
        </w:rPr>
        <w:t xml:space="preserve">to allow for distinguishing between what is perceived as a normal pattern, from an abnormal one. </w:t>
      </w:r>
      <w:r w:rsidR="007B5432" w:rsidRPr="002619CD">
        <w:rPr>
          <w:rFonts w:ascii="Times New Roman" w:hAnsi="Times New Roman" w:cs="Times New Roman"/>
          <w:sz w:val="24"/>
          <w:szCs w:val="24"/>
        </w:rPr>
        <w:t xml:space="preserve">Control charts prove effective in </w:t>
      </w:r>
      <w:r w:rsidR="00033397" w:rsidRPr="002619CD">
        <w:rPr>
          <w:rFonts w:ascii="Times New Roman" w:hAnsi="Times New Roman" w:cs="Times New Roman"/>
          <w:sz w:val="24"/>
          <w:szCs w:val="24"/>
        </w:rPr>
        <w:t xml:space="preserve">the same application. </w:t>
      </w:r>
      <w:r w:rsidR="003031D8" w:rsidRPr="002619CD">
        <w:rPr>
          <w:rFonts w:ascii="Times New Roman" w:hAnsi="Times New Roman" w:cs="Times New Roman"/>
          <w:sz w:val="24"/>
          <w:szCs w:val="24"/>
        </w:rPr>
        <w:t>The prodrome, earliest symptom prior to laboratory and clinical tests, creates the base for the syndromic surveillance system for identification and detection</w:t>
      </w:r>
      <w:r w:rsidR="00EB1468" w:rsidRPr="002619CD">
        <w:rPr>
          <w:rFonts w:ascii="Times New Roman" w:hAnsi="Times New Roman" w:cs="Times New Roman"/>
          <w:sz w:val="24"/>
          <w:szCs w:val="24"/>
        </w:rPr>
        <w:t xml:space="preserve"> </w:t>
      </w:r>
      <w:sdt>
        <w:sdtPr>
          <w:rPr>
            <w:rFonts w:ascii="Times New Roman" w:hAnsi="Times New Roman" w:cs="Times New Roman"/>
            <w:sz w:val="24"/>
            <w:szCs w:val="24"/>
          </w:rPr>
          <w:id w:val="583459642"/>
          <w:citation/>
        </w:sdtPr>
        <w:sdtContent>
          <w:r w:rsidR="00EB1468" w:rsidRPr="002619CD">
            <w:rPr>
              <w:rFonts w:ascii="Times New Roman" w:hAnsi="Times New Roman" w:cs="Times New Roman"/>
              <w:sz w:val="24"/>
              <w:szCs w:val="24"/>
            </w:rPr>
            <w:fldChar w:fldCharType="begin"/>
          </w:r>
          <w:r w:rsidR="00EB1468" w:rsidRPr="002619CD">
            <w:rPr>
              <w:rFonts w:ascii="Times New Roman" w:hAnsi="Times New Roman" w:cs="Times New Roman"/>
              <w:sz w:val="24"/>
              <w:szCs w:val="24"/>
            </w:rPr>
            <w:instrText xml:space="preserve"> CITATION Man03 \l 1033 </w:instrText>
          </w:r>
          <w:r w:rsidR="00EB1468" w:rsidRPr="002619CD">
            <w:rPr>
              <w:rFonts w:ascii="Times New Roman" w:hAnsi="Times New Roman" w:cs="Times New Roman"/>
              <w:sz w:val="24"/>
              <w:szCs w:val="24"/>
            </w:rPr>
            <w:fldChar w:fldCharType="separate"/>
          </w:r>
          <w:r w:rsidR="00EB1468" w:rsidRPr="002619CD">
            <w:rPr>
              <w:rFonts w:ascii="Times New Roman" w:hAnsi="Times New Roman" w:cs="Times New Roman"/>
              <w:noProof/>
              <w:sz w:val="24"/>
              <w:szCs w:val="24"/>
            </w:rPr>
            <w:t>(Mandi, et al., 2003)</w:t>
          </w:r>
          <w:r w:rsidR="00EB1468" w:rsidRPr="002619CD">
            <w:rPr>
              <w:rFonts w:ascii="Times New Roman" w:hAnsi="Times New Roman" w:cs="Times New Roman"/>
              <w:sz w:val="24"/>
              <w:szCs w:val="24"/>
            </w:rPr>
            <w:fldChar w:fldCharType="end"/>
          </w:r>
        </w:sdtContent>
      </w:sdt>
      <w:r w:rsidR="003031D8" w:rsidRPr="002619CD">
        <w:rPr>
          <w:rFonts w:ascii="Times New Roman" w:hAnsi="Times New Roman" w:cs="Times New Roman"/>
          <w:sz w:val="24"/>
          <w:szCs w:val="24"/>
        </w:rPr>
        <w:t>. Multiple secondary data sources improve the confidence level of the information from an investigator. The biowatch system, on the other hand, is heavily reliant on the warning systems intentionally released into the air to detect pathogens. The detection system is not reliable since the system fails to differentiate from credible threat pathogens from those that pose little to no threat. The confidence level of the data is low since it is reliant on one source</w:t>
      </w:r>
      <w:r w:rsidR="00966E4D" w:rsidRPr="002619CD">
        <w:rPr>
          <w:rFonts w:ascii="Times New Roman" w:hAnsi="Times New Roman" w:cs="Times New Roman"/>
          <w:sz w:val="24"/>
          <w:szCs w:val="24"/>
        </w:rPr>
        <w:t xml:space="preserve"> </w:t>
      </w:r>
      <w:sdt>
        <w:sdtPr>
          <w:rPr>
            <w:rFonts w:ascii="Times New Roman" w:hAnsi="Times New Roman" w:cs="Times New Roman"/>
            <w:sz w:val="24"/>
            <w:szCs w:val="24"/>
          </w:rPr>
          <w:id w:val="583459644"/>
          <w:citation/>
        </w:sdtPr>
        <w:sdtContent>
          <w:r w:rsidR="00966E4D" w:rsidRPr="002619CD">
            <w:rPr>
              <w:rFonts w:ascii="Times New Roman" w:hAnsi="Times New Roman" w:cs="Times New Roman"/>
              <w:sz w:val="24"/>
              <w:szCs w:val="24"/>
            </w:rPr>
            <w:fldChar w:fldCharType="begin"/>
          </w:r>
          <w:r w:rsidR="00966E4D" w:rsidRPr="002619CD">
            <w:rPr>
              <w:rFonts w:ascii="Times New Roman" w:hAnsi="Times New Roman" w:cs="Times New Roman"/>
              <w:sz w:val="24"/>
              <w:szCs w:val="24"/>
            </w:rPr>
            <w:instrText xml:space="preserve"> CITATION Wil151 \l 1033 </w:instrText>
          </w:r>
          <w:r w:rsidR="00966E4D" w:rsidRPr="002619CD">
            <w:rPr>
              <w:rFonts w:ascii="Times New Roman" w:hAnsi="Times New Roman" w:cs="Times New Roman"/>
              <w:sz w:val="24"/>
              <w:szCs w:val="24"/>
            </w:rPr>
            <w:fldChar w:fldCharType="separate"/>
          </w:r>
          <w:r w:rsidR="00966E4D" w:rsidRPr="002619CD">
            <w:rPr>
              <w:rFonts w:ascii="Times New Roman" w:hAnsi="Times New Roman" w:cs="Times New Roman"/>
              <w:noProof/>
              <w:sz w:val="24"/>
              <w:szCs w:val="24"/>
            </w:rPr>
            <w:t>(Willman, 2015)</w:t>
          </w:r>
          <w:r w:rsidR="00966E4D" w:rsidRPr="002619CD">
            <w:rPr>
              <w:rFonts w:ascii="Times New Roman" w:hAnsi="Times New Roman" w:cs="Times New Roman"/>
              <w:sz w:val="24"/>
              <w:szCs w:val="24"/>
            </w:rPr>
            <w:fldChar w:fldCharType="end"/>
          </w:r>
        </w:sdtContent>
      </w:sdt>
      <w:r w:rsidR="003031D8" w:rsidRPr="002619CD">
        <w:rPr>
          <w:rFonts w:ascii="Times New Roman" w:hAnsi="Times New Roman" w:cs="Times New Roman"/>
          <w:sz w:val="24"/>
          <w:szCs w:val="24"/>
        </w:rPr>
        <w:t xml:space="preserve">. </w:t>
      </w:r>
      <w:r w:rsidR="00F247CA" w:rsidRPr="002619CD">
        <w:rPr>
          <w:rFonts w:ascii="Times New Roman" w:hAnsi="Times New Roman" w:cs="Times New Roman"/>
          <w:sz w:val="24"/>
          <w:szCs w:val="24"/>
        </w:rPr>
        <w:t xml:space="preserve">Wearable sensors are quite adept in the detection of physiological courses, and the exactness of the details provided can track </w:t>
      </w:r>
      <w:r w:rsidR="00F247CA" w:rsidRPr="002619CD">
        <w:rPr>
          <w:rFonts w:ascii="Times New Roman" w:hAnsi="Times New Roman" w:cs="Times New Roman"/>
          <w:sz w:val="24"/>
          <w:szCs w:val="24"/>
        </w:rPr>
        <w:lastRenderedPageBreak/>
        <w:t>development within a day. However, the system is not applicable to biologic terrorism, unless used as a source of secondary information.</w:t>
      </w:r>
    </w:p>
    <w:p w:rsidR="00EB1468" w:rsidRPr="002619CD" w:rsidRDefault="00033397"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t xml:space="preserve">The application of the system has expanded to include monitoring disease trends, and in the provision of assurance that a large-scale outbreak has actually occurred. The spread, tempo, and size of an indentified outbreak can be tracked using the same system other applicable inputs of the system include the identification and monitoring of disease clusters and trends, and also identifying sentinel cases. </w:t>
      </w:r>
      <w:r w:rsidR="0010684E" w:rsidRPr="002619CD">
        <w:rPr>
          <w:rFonts w:ascii="Times New Roman" w:hAnsi="Times New Roman" w:cs="Times New Roman"/>
          <w:sz w:val="24"/>
          <w:szCs w:val="24"/>
        </w:rPr>
        <w:t xml:space="preserve">Therefore, the system is highly effective in emergency situations. </w:t>
      </w:r>
      <w:r w:rsidR="00F247CA" w:rsidRPr="002619CD">
        <w:rPr>
          <w:rFonts w:ascii="Times New Roman" w:hAnsi="Times New Roman" w:cs="Times New Roman"/>
          <w:sz w:val="24"/>
          <w:szCs w:val="24"/>
        </w:rPr>
        <w:t xml:space="preserve">The wearable sensors system is also quite adept in tracking the demographics of the symptoms noted from a described population group. However, the technology is reliant on people wearing the devices, lack of which does not provide any data. Therefore, the system is not as reliable as syndromic </w:t>
      </w:r>
      <w:r w:rsidR="002A644A" w:rsidRPr="002619CD">
        <w:rPr>
          <w:rFonts w:ascii="Times New Roman" w:hAnsi="Times New Roman" w:cs="Times New Roman"/>
          <w:sz w:val="24"/>
          <w:szCs w:val="24"/>
        </w:rPr>
        <w:t>surveillance. The</w:t>
      </w:r>
      <w:r w:rsidR="00EB1468" w:rsidRPr="002619CD">
        <w:rPr>
          <w:rFonts w:ascii="Times New Roman" w:hAnsi="Times New Roman" w:cs="Times New Roman"/>
          <w:sz w:val="24"/>
          <w:szCs w:val="24"/>
        </w:rPr>
        <w:t xml:space="preserve"> biowatch system takes into account the identified threat, but fails in obtaining data about the demographic data from the outbreak </w:t>
      </w:r>
      <w:sdt>
        <w:sdtPr>
          <w:rPr>
            <w:rFonts w:ascii="Times New Roman" w:hAnsi="Times New Roman" w:cs="Times New Roman"/>
            <w:sz w:val="24"/>
            <w:szCs w:val="24"/>
          </w:rPr>
          <w:id w:val="583459643"/>
          <w:citation/>
        </w:sdtPr>
        <w:sdtContent>
          <w:r w:rsidR="00966E4D" w:rsidRPr="002619CD">
            <w:rPr>
              <w:rFonts w:ascii="Times New Roman" w:hAnsi="Times New Roman" w:cs="Times New Roman"/>
              <w:sz w:val="24"/>
              <w:szCs w:val="24"/>
            </w:rPr>
            <w:fldChar w:fldCharType="begin"/>
          </w:r>
          <w:r w:rsidR="00966E4D" w:rsidRPr="002619CD">
            <w:rPr>
              <w:rFonts w:ascii="Times New Roman" w:hAnsi="Times New Roman" w:cs="Times New Roman"/>
              <w:sz w:val="24"/>
              <w:szCs w:val="24"/>
            </w:rPr>
            <w:instrText xml:space="preserve"> CITATION Nat11 \l 1033 </w:instrText>
          </w:r>
          <w:r w:rsidR="00966E4D" w:rsidRPr="002619CD">
            <w:rPr>
              <w:rFonts w:ascii="Times New Roman" w:hAnsi="Times New Roman" w:cs="Times New Roman"/>
              <w:sz w:val="24"/>
              <w:szCs w:val="24"/>
            </w:rPr>
            <w:fldChar w:fldCharType="separate"/>
          </w:r>
          <w:r w:rsidR="00966E4D" w:rsidRPr="002619CD">
            <w:rPr>
              <w:rFonts w:ascii="Times New Roman" w:hAnsi="Times New Roman" w:cs="Times New Roman"/>
              <w:noProof/>
              <w:sz w:val="24"/>
              <w:szCs w:val="24"/>
            </w:rPr>
            <w:t>(National Research Council, 2011)</w:t>
          </w:r>
          <w:r w:rsidR="00966E4D" w:rsidRPr="002619CD">
            <w:rPr>
              <w:rFonts w:ascii="Times New Roman" w:hAnsi="Times New Roman" w:cs="Times New Roman"/>
              <w:sz w:val="24"/>
              <w:szCs w:val="24"/>
            </w:rPr>
            <w:fldChar w:fldCharType="end"/>
          </w:r>
        </w:sdtContent>
      </w:sdt>
      <w:r w:rsidR="00EB1468" w:rsidRPr="002619CD">
        <w:rPr>
          <w:rFonts w:ascii="Times New Roman" w:hAnsi="Times New Roman" w:cs="Times New Roman"/>
          <w:sz w:val="24"/>
          <w:szCs w:val="24"/>
        </w:rPr>
        <w:t xml:space="preserve">. </w:t>
      </w:r>
    </w:p>
    <w:p w:rsidR="00AC309F" w:rsidRPr="002619CD" w:rsidRDefault="0010684E"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t xml:space="preserve">Response strategies adopted using syndromic surveillance incorporates the mobilization of a rapid response team, which proves highly beneficial in the reduction in rates of morbidity and mortality.  Graphical representation of the patients with either severity of illness conditions and symptoms as from the earliest onset is critical in the identification of disease clusters early. The timeline and speed of the processes allow for identification of the pathogens prior to confirmation of diagnoses, and report of the same to the agencies of public health. </w:t>
      </w:r>
      <w:r w:rsidR="00EB1468" w:rsidRPr="002619CD">
        <w:rPr>
          <w:rFonts w:ascii="Times New Roman" w:hAnsi="Times New Roman" w:cs="Times New Roman"/>
          <w:sz w:val="24"/>
          <w:szCs w:val="24"/>
        </w:rPr>
        <w:t xml:space="preserve">Analysis of the probable risk using the biowatch system takes between ten and 34 hours, which is significantly slower. Interpretation of data from the air samplers, laboratory analysis, the interpretation of data on the basis of public health action present a lengthy process that accumulates time thus effectively reducing response time and improving chances of exposure. </w:t>
      </w:r>
      <w:r w:rsidR="00F247CA" w:rsidRPr="002619CD">
        <w:rPr>
          <w:rFonts w:ascii="Times New Roman" w:hAnsi="Times New Roman" w:cs="Times New Roman"/>
          <w:sz w:val="24"/>
          <w:szCs w:val="24"/>
        </w:rPr>
        <w:lastRenderedPageBreak/>
        <w:t xml:space="preserve">The wearable devices technology presents a form of collection of physiological data, and is very reliable for analysis of the data to provide credible information. </w:t>
      </w:r>
    </w:p>
    <w:p w:rsidR="0010684E" w:rsidRPr="002619CD" w:rsidRDefault="00AC309F"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t xml:space="preserve">Syndromic surveillance also accounts for the time from the symptoms onset to visitation of health-care facilities for proper diagnosis, for cases that are associated with intentional release of biological agent. This makes the system more appropriate for early detection than the other two since syndromic surveillance targets at the threshold identification of symptomatic cases very early. The capability of the system to detect intentional outbreaks earlier takes account of population size affected by the outbreak, dispersion of the people affected, </w:t>
      </w:r>
      <w:r w:rsidR="006C359A" w:rsidRPr="002619CD">
        <w:rPr>
          <w:rFonts w:ascii="Times New Roman" w:hAnsi="Times New Roman" w:cs="Times New Roman"/>
          <w:sz w:val="24"/>
          <w:szCs w:val="24"/>
        </w:rPr>
        <w:t xml:space="preserve">surrogate </w:t>
      </w:r>
      <w:r w:rsidRPr="002619CD">
        <w:rPr>
          <w:rFonts w:ascii="Times New Roman" w:hAnsi="Times New Roman" w:cs="Times New Roman"/>
          <w:sz w:val="24"/>
          <w:szCs w:val="24"/>
        </w:rPr>
        <w:t xml:space="preserve">data collection and the specific symptoms described, criterion adopted in the investigation of threshold alerts, and the capability of the health care facility to detect and report cases they perceive </w:t>
      </w:r>
      <w:r w:rsidR="006C359A" w:rsidRPr="002619CD">
        <w:rPr>
          <w:rFonts w:ascii="Times New Roman" w:hAnsi="Times New Roman" w:cs="Times New Roman"/>
          <w:sz w:val="24"/>
          <w:szCs w:val="24"/>
        </w:rPr>
        <w:t xml:space="preserve">unusual. To ease the burden on the healthcare providers and providers and improve on the speed of accessibility, the system’s technology makes use of the </w:t>
      </w:r>
      <w:r w:rsidR="003031D8" w:rsidRPr="002619CD">
        <w:rPr>
          <w:rFonts w:ascii="Times New Roman" w:hAnsi="Times New Roman" w:cs="Times New Roman"/>
          <w:sz w:val="24"/>
          <w:szCs w:val="24"/>
        </w:rPr>
        <w:t xml:space="preserve">health data already in use. </w:t>
      </w:r>
      <w:r w:rsidR="00EB1468" w:rsidRPr="002619CD">
        <w:rPr>
          <w:rFonts w:ascii="Times New Roman" w:hAnsi="Times New Roman" w:cs="Times New Roman"/>
          <w:sz w:val="24"/>
          <w:szCs w:val="24"/>
        </w:rPr>
        <w:t>The biowatch system does not incorporate any form of secondary use beside its primary initiative</w:t>
      </w:r>
      <w:r w:rsidR="00966E4D" w:rsidRPr="002619CD">
        <w:rPr>
          <w:rFonts w:ascii="Times New Roman" w:hAnsi="Times New Roman" w:cs="Times New Roman"/>
          <w:sz w:val="24"/>
          <w:szCs w:val="24"/>
        </w:rPr>
        <w:t xml:space="preserve"> </w:t>
      </w:r>
      <w:sdt>
        <w:sdtPr>
          <w:rPr>
            <w:rFonts w:ascii="Times New Roman" w:hAnsi="Times New Roman" w:cs="Times New Roman"/>
            <w:sz w:val="24"/>
            <w:szCs w:val="24"/>
          </w:rPr>
          <w:id w:val="583459645"/>
          <w:citation/>
        </w:sdtPr>
        <w:sdtContent>
          <w:r w:rsidR="00966E4D" w:rsidRPr="002619CD">
            <w:rPr>
              <w:rFonts w:ascii="Times New Roman" w:hAnsi="Times New Roman" w:cs="Times New Roman"/>
              <w:sz w:val="24"/>
              <w:szCs w:val="24"/>
            </w:rPr>
            <w:fldChar w:fldCharType="begin"/>
          </w:r>
          <w:r w:rsidR="00966E4D" w:rsidRPr="002619CD">
            <w:rPr>
              <w:rFonts w:ascii="Times New Roman" w:hAnsi="Times New Roman" w:cs="Times New Roman"/>
              <w:sz w:val="24"/>
              <w:szCs w:val="24"/>
            </w:rPr>
            <w:instrText xml:space="preserve"> CITATION Nat11 \l 1033 </w:instrText>
          </w:r>
          <w:r w:rsidR="00966E4D" w:rsidRPr="002619CD">
            <w:rPr>
              <w:rFonts w:ascii="Times New Roman" w:hAnsi="Times New Roman" w:cs="Times New Roman"/>
              <w:sz w:val="24"/>
              <w:szCs w:val="24"/>
            </w:rPr>
            <w:fldChar w:fldCharType="separate"/>
          </w:r>
          <w:r w:rsidR="00966E4D" w:rsidRPr="002619CD">
            <w:rPr>
              <w:rFonts w:ascii="Times New Roman" w:hAnsi="Times New Roman" w:cs="Times New Roman"/>
              <w:noProof/>
              <w:sz w:val="24"/>
              <w:szCs w:val="24"/>
            </w:rPr>
            <w:t>(National Research Council, 2011)</w:t>
          </w:r>
          <w:r w:rsidR="00966E4D" w:rsidRPr="002619CD">
            <w:rPr>
              <w:rFonts w:ascii="Times New Roman" w:hAnsi="Times New Roman" w:cs="Times New Roman"/>
              <w:sz w:val="24"/>
              <w:szCs w:val="24"/>
            </w:rPr>
            <w:fldChar w:fldCharType="end"/>
          </w:r>
        </w:sdtContent>
      </w:sdt>
      <w:r w:rsidR="00EB1468" w:rsidRPr="002619CD">
        <w:rPr>
          <w:rFonts w:ascii="Times New Roman" w:hAnsi="Times New Roman" w:cs="Times New Roman"/>
          <w:sz w:val="24"/>
          <w:szCs w:val="24"/>
        </w:rPr>
        <w:t xml:space="preserve">. The primary initiative also is not applicable in any other context and may prove challenging to healthcare providers who are not proficient. The technological implementation of the biowatch system also proves to be more expensive. </w:t>
      </w:r>
    </w:p>
    <w:p w:rsidR="002A644A" w:rsidRPr="002619CD" w:rsidRDefault="006C359A" w:rsidP="002619CD">
      <w:pPr>
        <w:spacing w:line="480" w:lineRule="auto"/>
        <w:ind w:firstLine="720"/>
        <w:rPr>
          <w:rFonts w:ascii="Times New Roman" w:hAnsi="Times New Roman" w:cs="Times New Roman"/>
          <w:sz w:val="24"/>
          <w:szCs w:val="24"/>
        </w:rPr>
      </w:pPr>
      <w:r w:rsidRPr="002619CD">
        <w:rPr>
          <w:rFonts w:ascii="Times New Roman" w:hAnsi="Times New Roman" w:cs="Times New Roman"/>
          <w:sz w:val="24"/>
          <w:szCs w:val="24"/>
        </w:rPr>
        <w:t xml:space="preserve">Applications of the syndromic surveillance system can be customized to address the period and modes of acquisition of data. </w:t>
      </w:r>
      <w:r w:rsidR="00EB1468" w:rsidRPr="002619CD">
        <w:rPr>
          <w:rFonts w:ascii="Times New Roman" w:hAnsi="Times New Roman" w:cs="Times New Roman"/>
          <w:sz w:val="24"/>
          <w:szCs w:val="24"/>
        </w:rPr>
        <w:t>For the example of d</w:t>
      </w:r>
      <w:r w:rsidRPr="002619CD">
        <w:rPr>
          <w:rFonts w:ascii="Times New Roman" w:hAnsi="Times New Roman" w:cs="Times New Roman"/>
          <w:sz w:val="24"/>
          <w:szCs w:val="24"/>
        </w:rPr>
        <w:t xml:space="preserve">iscrete events such as the National Political Convention and the Olympics call short duration enhanced monitoring as defined by the event. </w:t>
      </w:r>
    </w:p>
    <w:p w:rsidR="002A644A" w:rsidRPr="002619CD" w:rsidRDefault="002A644A" w:rsidP="002619CD">
      <w:pPr>
        <w:spacing w:line="480" w:lineRule="auto"/>
        <w:rPr>
          <w:rFonts w:ascii="Times New Roman" w:hAnsi="Times New Roman" w:cs="Times New Roman"/>
          <w:sz w:val="24"/>
          <w:szCs w:val="24"/>
        </w:rPr>
      </w:pPr>
      <w:r w:rsidRPr="002619CD">
        <w:rPr>
          <w:rFonts w:ascii="Times New Roman" w:hAnsi="Times New Roman" w:cs="Times New Roman"/>
          <w:sz w:val="24"/>
          <w:szCs w:val="24"/>
        </w:rPr>
        <w:br w:type="page"/>
      </w:r>
    </w:p>
    <w:sdt>
      <w:sdtPr>
        <w:rPr>
          <w:rFonts w:ascii="Times New Roman" w:hAnsi="Times New Roman" w:cs="Times New Roman"/>
          <w:color w:val="auto"/>
          <w:sz w:val="24"/>
          <w:szCs w:val="24"/>
        </w:rPr>
        <w:id w:val="583459646"/>
        <w:docPartObj>
          <w:docPartGallery w:val="Bibliographies"/>
          <w:docPartUnique/>
        </w:docPartObj>
      </w:sdtPr>
      <w:sdtEndPr>
        <w:rPr>
          <w:rFonts w:eastAsiaTheme="minorEastAsia"/>
          <w:b w:val="0"/>
          <w:bCs w:val="0"/>
          <w:lang w:bidi="ar-SA"/>
        </w:rPr>
      </w:sdtEndPr>
      <w:sdtContent>
        <w:p w:rsidR="002A644A" w:rsidRPr="002619CD" w:rsidRDefault="002A644A" w:rsidP="002619CD">
          <w:pPr>
            <w:pStyle w:val="Heading1"/>
            <w:spacing w:line="480" w:lineRule="auto"/>
            <w:jc w:val="center"/>
            <w:rPr>
              <w:rFonts w:ascii="Times New Roman" w:hAnsi="Times New Roman" w:cs="Times New Roman"/>
              <w:color w:val="auto"/>
              <w:sz w:val="24"/>
              <w:szCs w:val="24"/>
            </w:rPr>
          </w:pPr>
          <w:r w:rsidRPr="002619C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2A644A" w:rsidRPr="002619CD" w:rsidRDefault="002A644A" w:rsidP="002619CD">
              <w:pPr>
                <w:pStyle w:val="Bibliography"/>
                <w:spacing w:line="480" w:lineRule="auto"/>
                <w:ind w:left="720" w:hanging="720"/>
                <w:rPr>
                  <w:rFonts w:ascii="Times New Roman" w:hAnsi="Times New Roman" w:cs="Times New Roman"/>
                  <w:noProof/>
                  <w:sz w:val="24"/>
                  <w:szCs w:val="24"/>
                </w:rPr>
              </w:pPr>
              <w:r w:rsidRPr="002619CD">
                <w:rPr>
                  <w:rFonts w:ascii="Times New Roman" w:hAnsi="Times New Roman" w:cs="Times New Roman"/>
                  <w:sz w:val="24"/>
                  <w:szCs w:val="24"/>
                </w:rPr>
                <w:fldChar w:fldCharType="begin"/>
              </w:r>
              <w:r w:rsidRPr="002619CD">
                <w:rPr>
                  <w:rFonts w:ascii="Times New Roman" w:hAnsi="Times New Roman" w:cs="Times New Roman"/>
                  <w:sz w:val="24"/>
                  <w:szCs w:val="24"/>
                </w:rPr>
                <w:instrText xml:space="preserve"> BIBLIOGRAPHY </w:instrText>
              </w:r>
              <w:r w:rsidRPr="002619CD">
                <w:rPr>
                  <w:rFonts w:ascii="Times New Roman" w:hAnsi="Times New Roman" w:cs="Times New Roman"/>
                  <w:sz w:val="24"/>
                  <w:szCs w:val="24"/>
                </w:rPr>
                <w:fldChar w:fldCharType="separate"/>
              </w:r>
              <w:r w:rsidRPr="002619CD">
                <w:rPr>
                  <w:rFonts w:ascii="Times New Roman" w:hAnsi="Times New Roman" w:cs="Times New Roman"/>
                  <w:noProof/>
                  <w:sz w:val="24"/>
                  <w:szCs w:val="24"/>
                </w:rPr>
                <w:t xml:space="preserve">Li, X., Dunn, J., Salins, D., Zhou, G., Zhou, W., Rose, S. M.-F., et al. (2017). Digital Health: Tracking Physiomes and Activity Using Wearable Biosensors Reveals Useful Health-Related Information. </w:t>
              </w:r>
              <w:r w:rsidRPr="002619CD">
                <w:rPr>
                  <w:rFonts w:ascii="Times New Roman" w:hAnsi="Times New Roman" w:cs="Times New Roman"/>
                  <w:i/>
                  <w:iCs/>
                  <w:noProof/>
                  <w:sz w:val="24"/>
                  <w:szCs w:val="24"/>
                </w:rPr>
                <w:t>PLoS Biology</w:t>
              </w:r>
              <w:r w:rsidRPr="002619CD">
                <w:rPr>
                  <w:rFonts w:ascii="Times New Roman" w:hAnsi="Times New Roman" w:cs="Times New Roman"/>
                  <w:noProof/>
                  <w:sz w:val="24"/>
                  <w:szCs w:val="24"/>
                </w:rPr>
                <w:t xml:space="preserve"> </w:t>
              </w:r>
              <w:r w:rsidRPr="002619CD">
                <w:rPr>
                  <w:rFonts w:ascii="Times New Roman" w:hAnsi="Times New Roman" w:cs="Times New Roman"/>
                  <w:i/>
                  <w:iCs/>
                  <w:noProof/>
                  <w:sz w:val="24"/>
                  <w:szCs w:val="24"/>
                </w:rPr>
                <w:t>, 15</w:t>
              </w:r>
              <w:r w:rsidRPr="002619CD">
                <w:rPr>
                  <w:rFonts w:ascii="Times New Roman" w:hAnsi="Times New Roman" w:cs="Times New Roman"/>
                  <w:noProof/>
                  <w:sz w:val="24"/>
                  <w:szCs w:val="24"/>
                </w:rPr>
                <w:t xml:space="preserve"> (1), e2001402.</w:t>
              </w:r>
            </w:p>
            <w:p w:rsidR="002A644A" w:rsidRPr="002619CD" w:rsidRDefault="002A644A" w:rsidP="002619CD">
              <w:pPr>
                <w:pStyle w:val="Bibliography"/>
                <w:spacing w:line="480" w:lineRule="auto"/>
                <w:ind w:left="720" w:hanging="720"/>
                <w:rPr>
                  <w:rFonts w:ascii="Times New Roman" w:hAnsi="Times New Roman" w:cs="Times New Roman"/>
                  <w:noProof/>
                  <w:sz w:val="24"/>
                  <w:szCs w:val="24"/>
                </w:rPr>
              </w:pPr>
              <w:r w:rsidRPr="002619CD">
                <w:rPr>
                  <w:rFonts w:ascii="Times New Roman" w:hAnsi="Times New Roman" w:cs="Times New Roman"/>
                  <w:noProof/>
                  <w:sz w:val="24"/>
                  <w:szCs w:val="24"/>
                </w:rPr>
                <w:t xml:space="preserve">Mandi, K. D., Overhage, J. M., Wagner, M. M., Lober, W. B., Sebastiani, P., Mostashari, F., et al. (2003). Implementing syndromic surveillance: a practical guide informed by the early experience. </w:t>
              </w:r>
              <w:r w:rsidRPr="002619CD">
                <w:rPr>
                  <w:rFonts w:ascii="Times New Roman" w:hAnsi="Times New Roman" w:cs="Times New Roman"/>
                  <w:i/>
                  <w:iCs/>
                  <w:noProof/>
                  <w:sz w:val="24"/>
                  <w:szCs w:val="24"/>
                </w:rPr>
                <w:t>Journal of the American Medical Informatics Association</w:t>
              </w:r>
              <w:r w:rsidRPr="002619CD">
                <w:rPr>
                  <w:rFonts w:ascii="Times New Roman" w:hAnsi="Times New Roman" w:cs="Times New Roman"/>
                  <w:noProof/>
                  <w:sz w:val="24"/>
                  <w:szCs w:val="24"/>
                </w:rPr>
                <w:t xml:space="preserve"> </w:t>
              </w:r>
              <w:r w:rsidRPr="002619CD">
                <w:rPr>
                  <w:rFonts w:ascii="Times New Roman" w:hAnsi="Times New Roman" w:cs="Times New Roman"/>
                  <w:i/>
                  <w:iCs/>
                  <w:noProof/>
                  <w:sz w:val="24"/>
                  <w:szCs w:val="24"/>
                </w:rPr>
                <w:t>, 11</w:t>
              </w:r>
              <w:r w:rsidRPr="002619CD">
                <w:rPr>
                  <w:rFonts w:ascii="Times New Roman" w:hAnsi="Times New Roman" w:cs="Times New Roman"/>
                  <w:noProof/>
                  <w:sz w:val="24"/>
                  <w:szCs w:val="24"/>
                </w:rPr>
                <w:t xml:space="preserve"> (2), 141-150.</w:t>
              </w:r>
            </w:p>
            <w:p w:rsidR="002A644A" w:rsidRPr="002619CD" w:rsidRDefault="002A644A" w:rsidP="002619CD">
              <w:pPr>
                <w:pStyle w:val="Bibliography"/>
                <w:spacing w:line="480" w:lineRule="auto"/>
                <w:ind w:left="720" w:hanging="720"/>
                <w:rPr>
                  <w:rFonts w:ascii="Times New Roman" w:hAnsi="Times New Roman" w:cs="Times New Roman"/>
                  <w:noProof/>
                  <w:sz w:val="24"/>
                  <w:szCs w:val="24"/>
                </w:rPr>
              </w:pPr>
              <w:r w:rsidRPr="002619CD">
                <w:rPr>
                  <w:rFonts w:ascii="Times New Roman" w:hAnsi="Times New Roman" w:cs="Times New Roman"/>
                  <w:noProof/>
                  <w:sz w:val="24"/>
                  <w:szCs w:val="24"/>
                </w:rPr>
                <w:t xml:space="preserve">National Research Council. (2011). </w:t>
              </w:r>
              <w:r w:rsidRPr="002619CD">
                <w:rPr>
                  <w:rFonts w:ascii="Times New Roman" w:hAnsi="Times New Roman" w:cs="Times New Roman"/>
                  <w:i/>
                  <w:iCs/>
                  <w:noProof/>
                  <w:sz w:val="24"/>
                  <w:szCs w:val="24"/>
                </w:rPr>
                <w:t>BioWatch and Public Health Surveillance: Evaluating Systems for the Early Detection of Biological Threats.</w:t>
              </w:r>
              <w:r w:rsidRPr="002619CD">
                <w:rPr>
                  <w:rFonts w:ascii="Times New Roman" w:hAnsi="Times New Roman" w:cs="Times New Roman"/>
                  <w:noProof/>
                  <w:sz w:val="24"/>
                  <w:szCs w:val="24"/>
                </w:rPr>
                <w:t xml:space="preserve"> National Academies Press.</w:t>
              </w:r>
            </w:p>
            <w:p w:rsidR="002A644A" w:rsidRPr="002619CD" w:rsidRDefault="002A644A" w:rsidP="002619CD">
              <w:pPr>
                <w:pStyle w:val="Bibliography"/>
                <w:spacing w:line="480" w:lineRule="auto"/>
                <w:ind w:left="720" w:hanging="720"/>
                <w:rPr>
                  <w:rFonts w:ascii="Times New Roman" w:hAnsi="Times New Roman" w:cs="Times New Roman"/>
                  <w:noProof/>
                  <w:sz w:val="24"/>
                  <w:szCs w:val="24"/>
                </w:rPr>
              </w:pPr>
              <w:r w:rsidRPr="002619CD">
                <w:rPr>
                  <w:rFonts w:ascii="Times New Roman" w:hAnsi="Times New Roman" w:cs="Times New Roman"/>
                  <w:noProof/>
                  <w:sz w:val="24"/>
                  <w:szCs w:val="24"/>
                </w:rPr>
                <w:t xml:space="preserve">Willman, D. (2015, November 23). </w:t>
              </w:r>
              <w:r w:rsidRPr="002619CD">
                <w:rPr>
                  <w:rFonts w:ascii="Times New Roman" w:hAnsi="Times New Roman" w:cs="Times New Roman"/>
                  <w:i/>
                  <w:iCs/>
                  <w:noProof/>
                  <w:sz w:val="24"/>
                  <w:szCs w:val="24"/>
                </w:rPr>
                <w:t>U.S. system to detect bioterrorism can’t be counted on, government watchdog finds</w:t>
              </w:r>
              <w:r w:rsidRPr="002619CD">
                <w:rPr>
                  <w:rFonts w:ascii="Times New Roman" w:hAnsi="Times New Roman" w:cs="Times New Roman"/>
                  <w:noProof/>
                  <w:sz w:val="24"/>
                  <w:szCs w:val="24"/>
                </w:rPr>
                <w:t>. Retrieved July 18, 2019, from Lo Angeles Times: https://www.latimes.com/nation/la-na-bioterror-defense-20151123-story.html</w:t>
              </w:r>
            </w:p>
            <w:p w:rsidR="002A644A" w:rsidRPr="002619CD" w:rsidRDefault="002A644A" w:rsidP="002619CD">
              <w:pPr>
                <w:spacing w:line="480" w:lineRule="auto"/>
                <w:ind w:left="720" w:hanging="720"/>
                <w:rPr>
                  <w:rFonts w:ascii="Times New Roman" w:hAnsi="Times New Roman" w:cs="Times New Roman"/>
                  <w:sz w:val="24"/>
                  <w:szCs w:val="24"/>
                </w:rPr>
              </w:pPr>
              <w:r w:rsidRPr="002619CD">
                <w:rPr>
                  <w:rFonts w:ascii="Times New Roman" w:hAnsi="Times New Roman" w:cs="Times New Roman"/>
                  <w:sz w:val="24"/>
                  <w:szCs w:val="24"/>
                </w:rPr>
                <w:fldChar w:fldCharType="end"/>
              </w:r>
            </w:p>
          </w:sdtContent>
        </w:sdt>
      </w:sdtContent>
    </w:sdt>
    <w:p w:rsidR="006C359A" w:rsidRPr="002619CD" w:rsidRDefault="006C359A" w:rsidP="002619CD">
      <w:pPr>
        <w:spacing w:line="480" w:lineRule="auto"/>
        <w:ind w:left="720" w:hanging="720"/>
        <w:rPr>
          <w:rFonts w:ascii="Times New Roman" w:hAnsi="Times New Roman" w:cs="Times New Roman"/>
          <w:sz w:val="24"/>
          <w:szCs w:val="24"/>
        </w:rPr>
      </w:pPr>
    </w:p>
    <w:sectPr w:rsidR="006C359A" w:rsidRPr="002619CD" w:rsidSect="002A64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0A4" w:rsidRDefault="00EF70A4" w:rsidP="002A644A">
      <w:pPr>
        <w:spacing w:after="0" w:line="240" w:lineRule="auto"/>
      </w:pPr>
      <w:r>
        <w:separator/>
      </w:r>
    </w:p>
  </w:endnote>
  <w:endnote w:type="continuationSeparator" w:id="1">
    <w:p w:rsidR="00EF70A4" w:rsidRDefault="00EF70A4" w:rsidP="002A64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0A4" w:rsidRDefault="00EF70A4" w:rsidP="002A644A">
      <w:pPr>
        <w:spacing w:after="0" w:line="240" w:lineRule="auto"/>
      </w:pPr>
      <w:r>
        <w:separator/>
      </w:r>
    </w:p>
  </w:footnote>
  <w:footnote w:type="continuationSeparator" w:id="1">
    <w:p w:rsidR="00EF70A4" w:rsidRDefault="00EF70A4" w:rsidP="002A64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4A" w:rsidRPr="002A644A" w:rsidRDefault="002A644A">
    <w:pPr>
      <w:pStyle w:val="Header"/>
      <w:jc w:val="right"/>
      <w:rPr>
        <w:rFonts w:ascii="Times New Roman" w:hAnsi="Times New Roman" w:cs="Times New Roman"/>
        <w:sz w:val="24"/>
      </w:rPr>
    </w:pPr>
    <w:r w:rsidRPr="002A644A">
      <w:rPr>
        <w:rFonts w:ascii="Times New Roman" w:hAnsi="Times New Roman" w:cs="Times New Roman"/>
        <w:sz w:val="24"/>
      </w:rPr>
      <w:t>BIODETECTION OF INTENTIONAL THREATS</w:t>
    </w:r>
    <w:r>
      <w:rPr>
        <w:rFonts w:ascii="Times New Roman" w:hAnsi="Times New Roman" w:cs="Times New Roman"/>
        <w:sz w:val="24"/>
      </w:rPr>
      <w:tab/>
    </w:r>
    <w:r w:rsidRPr="002A644A">
      <w:rPr>
        <w:rFonts w:ascii="Times New Roman" w:hAnsi="Times New Roman" w:cs="Times New Roman"/>
        <w:sz w:val="24"/>
      </w:rPr>
      <w:t xml:space="preserve"> </w:t>
    </w:r>
    <w:sdt>
      <w:sdtPr>
        <w:rPr>
          <w:rFonts w:ascii="Times New Roman" w:hAnsi="Times New Roman" w:cs="Times New Roman"/>
          <w:sz w:val="24"/>
        </w:rPr>
        <w:id w:val="583459651"/>
        <w:docPartObj>
          <w:docPartGallery w:val="Page Numbers (Top of Page)"/>
          <w:docPartUnique/>
        </w:docPartObj>
      </w:sdtPr>
      <w:sdtContent>
        <w:r w:rsidRPr="002A644A">
          <w:rPr>
            <w:rFonts w:ascii="Times New Roman" w:hAnsi="Times New Roman" w:cs="Times New Roman"/>
            <w:sz w:val="24"/>
          </w:rPr>
          <w:fldChar w:fldCharType="begin"/>
        </w:r>
        <w:r w:rsidRPr="002A644A">
          <w:rPr>
            <w:rFonts w:ascii="Times New Roman" w:hAnsi="Times New Roman" w:cs="Times New Roman"/>
            <w:sz w:val="24"/>
          </w:rPr>
          <w:instrText xml:space="preserve"> PAGE   \* MERGEFORMAT </w:instrText>
        </w:r>
        <w:r w:rsidRPr="002A644A">
          <w:rPr>
            <w:rFonts w:ascii="Times New Roman" w:hAnsi="Times New Roman" w:cs="Times New Roman"/>
            <w:sz w:val="24"/>
          </w:rPr>
          <w:fldChar w:fldCharType="separate"/>
        </w:r>
        <w:r w:rsidR="002619CD">
          <w:rPr>
            <w:rFonts w:ascii="Times New Roman" w:hAnsi="Times New Roman" w:cs="Times New Roman"/>
            <w:noProof/>
            <w:sz w:val="24"/>
          </w:rPr>
          <w:t>5</w:t>
        </w:r>
        <w:r w:rsidRPr="002A644A">
          <w:rPr>
            <w:rFonts w:ascii="Times New Roman" w:hAnsi="Times New Roman" w:cs="Times New Roman"/>
            <w:sz w:val="24"/>
          </w:rPr>
          <w:fldChar w:fldCharType="end"/>
        </w:r>
      </w:sdtContent>
    </w:sdt>
  </w:p>
  <w:p w:rsidR="002A644A" w:rsidRPr="002A644A" w:rsidRDefault="002A644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4A" w:rsidRPr="002A644A" w:rsidRDefault="002A644A">
    <w:pPr>
      <w:pStyle w:val="Header"/>
      <w:jc w:val="right"/>
      <w:rPr>
        <w:rFonts w:ascii="Times New Roman" w:hAnsi="Times New Roman" w:cs="Times New Roman"/>
        <w:sz w:val="24"/>
      </w:rPr>
    </w:pPr>
    <w:r w:rsidRPr="002A644A">
      <w:rPr>
        <w:rFonts w:ascii="Times New Roman" w:hAnsi="Times New Roman" w:cs="Times New Roman"/>
        <w:sz w:val="24"/>
      </w:rPr>
      <w:t xml:space="preserve">Running Head: BIODETECTION OF INTENTIONAL THREATS </w:t>
    </w:r>
    <w:r w:rsidRPr="002A644A">
      <w:rPr>
        <w:rFonts w:ascii="Times New Roman" w:hAnsi="Times New Roman" w:cs="Times New Roman"/>
        <w:sz w:val="24"/>
      </w:rPr>
      <w:tab/>
    </w:r>
    <w:sdt>
      <w:sdtPr>
        <w:rPr>
          <w:rFonts w:ascii="Times New Roman" w:hAnsi="Times New Roman" w:cs="Times New Roman"/>
          <w:sz w:val="24"/>
        </w:rPr>
        <w:id w:val="583459687"/>
        <w:docPartObj>
          <w:docPartGallery w:val="Page Numbers (Top of Page)"/>
          <w:docPartUnique/>
        </w:docPartObj>
      </w:sdtPr>
      <w:sdtContent>
        <w:r w:rsidRPr="002A644A">
          <w:rPr>
            <w:rFonts w:ascii="Times New Roman" w:hAnsi="Times New Roman" w:cs="Times New Roman"/>
            <w:sz w:val="24"/>
          </w:rPr>
          <w:fldChar w:fldCharType="begin"/>
        </w:r>
        <w:r w:rsidRPr="002A644A">
          <w:rPr>
            <w:rFonts w:ascii="Times New Roman" w:hAnsi="Times New Roman" w:cs="Times New Roman"/>
            <w:sz w:val="24"/>
          </w:rPr>
          <w:instrText xml:space="preserve"> PAGE   \* MERGEFORMAT </w:instrText>
        </w:r>
        <w:r w:rsidRPr="002A644A">
          <w:rPr>
            <w:rFonts w:ascii="Times New Roman" w:hAnsi="Times New Roman" w:cs="Times New Roman"/>
            <w:sz w:val="24"/>
          </w:rPr>
          <w:fldChar w:fldCharType="separate"/>
        </w:r>
        <w:r w:rsidR="002619CD">
          <w:rPr>
            <w:rFonts w:ascii="Times New Roman" w:hAnsi="Times New Roman" w:cs="Times New Roman"/>
            <w:noProof/>
            <w:sz w:val="24"/>
          </w:rPr>
          <w:t>1</w:t>
        </w:r>
        <w:r w:rsidRPr="002A644A">
          <w:rPr>
            <w:rFonts w:ascii="Times New Roman" w:hAnsi="Times New Roman" w:cs="Times New Roman"/>
            <w:sz w:val="24"/>
          </w:rPr>
          <w:fldChar w:fldCharType="end"/>
        </w:r>
      </w:sdtContent>
    </w:sdt>
  </w:p>
  <w:p w:rsidR="002A644A" w:rsidRPr="002A644A" w:rsidRDefault="002A644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747AC"/>
    <w:rsid w:val="00033397"/>
    <w:rsid w:val="0010684E"/>
    <w:rsid w:val="002358D0"/>
    <w:rsid w:val="002619CD"/>
    <w:rsid w:val="002A644A"/>
    <w:rsid w:val="003031D8"/>
    <w:rsid w:val="00392672"/>
    <w:rsid w:val="005747AC"/>
    <w:rsid w:val="005F5689"/>
    <w:rsid w:val="006C359A"/>
    <w:rsid w:val="007B5432"/>
    <w:rsid w:val="00966E4D"/>
    <w:rsid w:val="00AC309F"/>
    <w:rsid w:val="00EB1468"/>
    <w:rsid w:val="00EF70A4"/>
    <w:rsid w:val="00F247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644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468"/>
    <w:rPr>
      <w:rFonts w:ascii="Tahoma" w:hAnsi="Tahoma" w:cs="Tahoma"/>
      <w:sz w:val="16"/>
      <w:szCs w:val="16"/>
    </w:rPr>
  </w:style>
  <w:style w:type="character" w:customStyle="1" w:styleId="Heading1Char">
    <w:name w:val="Heading 1 Char"/>
    <w:basedOn w:val="DefaultParagraphFont"/>
    <w:link w:val="Heading1"/>
    <w:uiPriority w:val="9"/>
    <w:rsid w:val="002A644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A644A"/>
  </w:style>
  <w:style w:type="paragraph" w:styleId="Header">
    <w:name w:val="header"/>
    <w:basedOn w:val="Normal"/>
    <w:link w:val="HeaderChar"/>
    <w:uiPriority w:val="99"/>
    <w:unhideWhenUsed/>
    <w:rsid w:val="002A6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44A"/>
  </w:style>
  <w:style w:type="paragraph" w:styleId="Footer">
    <w:name w:val="footer"/>
    <w:basedOn w:val="Normal"/>
    <w:link w:val="FooterChar"/>
    <w:uiPriority w:val="99"/>
    <w:semiHidden/>
    <w:unhideWhenUsed/>
    <w:rsid w:val="002A64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64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Man03</b:Tag>
    <b:SourceType>JournalArticle</b:SourceType>
    <b:Guid>{EE04EA82-7944-4140-8F86-5A4FE2C200A9}</b:Guid>
    <b:LCID>0</b:LCID>
    <b:Author>
      <b:Author>
        <b:NameList>
          <b:Person>
            <b:Last>Mandi</b:Last>
            <b:First>Kenneth</b:First>
            <b:Middle>D.</b:Middle>
          </b:Person>
          <b:Person>
            <b:Last>Overhage</b:Last>
            <b:First>J.</b:First>
            <b:Middle>Marc</b:Middle>
          </b:Person>
          <b:Person>
            <b:Last>Wagner</b:Last>
            <b:First>Michael</b:First>
            <b:Middle>M.</b:Middle>
          </b:Person>
          <b:Person>
            <b:Last>Lober</b:Last>
            <b:First>William</b:First>
            <b:Middle>B.</b:Middle>
          </b:Person>
          <b:Person>
            <b:Last>Sebastiani</b:Last>
            <b:First>Paola</b:First>
          </b:Person>
          <b:Person>
            <b:Last>Mostashari</b:Last>
            <b:First>Farzad</b:First>
          </b:Person>
          <b:Person>
            <b:Last>Palvin</b:Last>
            <b:First>Julie</b:First>
            <b:Middle>A.</b:Middle>
          </b:Person>
          <b:Person>
            <b:Last>Gesteland</b:Last>
            <b:First>Per</b:First>
            <b:Middle>H.</b:Middle>
          </b:Person>
          <b:Person>
            <b:Last>Treadwell</b:Last>
            <b:First>Tracee</b:First>
          </b:Person>
          <b:Person>
            <b:Last>Koski</b:Last>
            <b:First>Eileen</b:First>
          </b:Person>
          <b:Person>
            <b:Last>Hutwagner</b:Last>
            <b:First>Lori</b:First>
          </b:Person>
          <b:Person>
            <b:Last>Buckeridge</b:Last>
            <b:First>David</b:First>
            <b:Middle>L.</b:Middle>
          </b:Person>
          <b:Person>
            <b:Last>Aller</b:Last>
            <b:First>Raymond</b:First>
            <b:Middle>D.</b:Middle>
          </b:Person>
          <b:Person>
            <b:Last>Grannis</b:Last>
            <b:First>Shaun</b:First>
          </b:Person>
        </b:NameList>
      </b:Author>
    </b:Author>
    <b:Title>Implementing syndromic surveillance: a practical guide informed by the early experience.</b:Title>
    <b:Year>2003</b:Year>
    <b:JournalName>Journal of the American Medical Informatics Association</b:JournalName>
    <b:Pages>141-150</b:Pages>
    <b:Volume>11</b:Volume>
    <b:Issue>2</b:Issue>
    <b:RefOrder>1</b:RefOrder>
  </b:Source>
  <b:Source>
    <b:Tag>LiX17</b:Tag>
    <b:SourceType>JournalArticle</b:SourceType>
    <b:Guid>{FD9148E7-5413-430C-8AAF-8FB4C7F0CD33}</b:Guid>
    <b:LCID>0</b:LCID>
    <b:Author>
      <b:Author>
        <b:NameList>
          <b:Person>
            <b:Last>Li</b:Last>
            <b:First>Xiao</b:First>
          </b:Person>
          <b:Person>
            <b:Last>Dunn</b:Last>
            <b:First>Jessilyn</b:First>
          </b:Person>
          <b:Person>
            <b:Last>Salins</b:Last>
            <b:First>Denis</b:First>
          </b:Person>
          <b:Person>
            <b:Last>Zhou</b:Last>
            <b:First>Gao</b:First>
          </b:Person>
          <b:Person>
            <b:Last>Zhou</b:Last>
            <b:First>Wenyu</b:First>
          </b:Person>
          <b:Person>
            <b:Last>Rose</b:Last>
            <b:First>Sophia</b:First>
            <b:Middle>Miryam Schussler-Florenza</b:Middle>
          </b:Person>
          <b:Person>
            <b:Last>Perelman</b:Last>
            <b:First>Dalia</b:First>
          </b:Person>
          <b:Person>
            <b:Last>Colbert</b:Last>
            <b:First>Elizabeth</b:First>
          </b:Person>
          <b:Person>
            <b:Last>Runge</b:Last>
            <b:First>Ryan</b:First>
          </b:Person>
          <b:Person>
            <b:Last>Rego</b:Last>
            <b:First>Shannon</b:First>
          </b:Person>
          <b:Person>
            <b:Last>Sonecha</b:Last>
            <b:First>Ria</b:First>
          </b:Person>
          <b:Person>
            <b:Last>Datta</b:Last>
            <b:First>Somalee</b:First>
          </b:Person>
          <b:Person>
            <b:Last>McLaughlin</b:Last>
            <b:First>Tracey</b:First>
          </b:Person>
          <b:Person>
            <b:Last>Snyder</b:Last>
            <b:First>Micheal</b:First>
            <b:Middle>P.</b:Middle>
          </b:Person>
        </b:NameList>
      </b:Author>
    </b:Author>
    <b:Title>Digital Health: Tracking Physiomes and Activity Using Wearable Biosensors Reveals Useful Health-Related Information</b:Title>
    <b:JournalName>PLoS Biology</b:JournalName>
    <b:Year>2017</b:Year>
    <b:Pages>e2001402</b:Pages>
    <b:Volume>15</b:Volume>
    <b:Issue>1</b:Issue>
    <b:RefOrder>4</b:RefOrder>
  </b:Source>
  <b:Source>
    <b:Tag>Nat11</b:Tag>
    <b:SourceType>Book</b:SourceType>
    <b:Guid>{7F3C5516-48DF-4BFC-8069-E315CAFBA201}</b:Guid>
    <b:LCID>0</b:LCID>
    <b:Author>
      <b:Author>
        <b:Corporate>National Research Council</b:Corporate>
      </b:Author>
    </b:Author>
    <b:Title>BioWatch and Public Health Surveillance: Evaluating Systems for the Early Detection of Biological Threats</b:Title>
    <b:Year>2011</b:Year>
    <b:Publisher>National Academies Press.</b:Publisher>
    <b:RefOrder>3</b:RefOrder>
  </b:Source>
  <b:Source>
    <b:Tag>Wil151</b:Tag>
    <b:SourceType>InternetSite</b:SourceType>
    <b:Guid>{2ED3E829-8A1D-40BC-9B61-EF1366E8F50F}</b:Guid>
    <b:LCID>0</b:LCID>
    <b:Author>
      <b:Author>
        <b:NameList>
          <b:Person>
            <b:Last>Willman</b:Last>
            <b:First>David</b:First>
          </b:Person>
        </b:NameList>
      </b:Author>
    </b:Author>
    <b:Title>U.S. system to detect bioterrorism can’t be counted on, government watchdog finds</b:Title>
    <b:Year>2015</b:Year>
    <b:InternetSiteTitle>Lo Angeles Times</b:InternetSiteTitle>
    <b:Month>November </b:Month>
    <b:Day>23</b:Day>
    <b:YearAccessed>2019</b:YearAccessed>
    <b:MonthAccessed>July</b:MonthAccessed>
    <b:DayAccessed>18</b:DayAccessed>
    <b:URL>https://www.latimes.com/nation/la-na-bioterror-defense-20151123-story.html</b:URL>
    <b:RefOrder>2</b:RefOrder>
  </b:Source>
</b:Sources>
</file>

<file path=customXml/itemProps1.xml><?xml version="1.0" encoding="utf-8"?>
<ds:datastoreItem xmlns:ds="http://schemas.openxmlformats.org/officeDocument/2006/customXml" ds:itemID="{0CF8D999-42F7-4D37-9071-960574A5A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5</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2019-07-18T14:31:00Z</dcterms:created>
  <dcterms:modified xsi:type="dcterms:W3CDTF">2019-07-19T04:26:00Z</dcterms:modified>
</cp:coreProperties>
</file>