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0A37501D"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02EB378F"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65CE9D5A" w14:textId="77777777" w:rsidR="00304CF9" w:rsidRPr="00304CF9" w:rsidRDefault="00304CF9" w:rsidP="00304CF9">
      <w:pPr>
        <w:spacing w:line="480" w:lineRule="auto"/>
        <w:contextualSpacing/>
        <w:jc w:val="center"/>
        <w:rPr>
          <w:rFonts w:ascii="Times New Roman" w:hAnsi="Times New Roman"/>
          <w:color w:val="000000"/>
          <w:sz w:val="24"/>
          <w:szCs w:val="24"/>
        </w:rPr>
      </w:pPr>
    </w:p>
    <w:p w14:paraId="427772CB" w14:textId="77777777" w:rsidR="00304CF9" w:rsidRPr="00304CF9" w:rsidRDefault="00304CF9" w:rsidP="00304CF9">
      <w:pPr>
        <w:spacing w:line="480" w:lineRule="auto"/>
        <w:contextualSpacing/>
        <w:jc w:val="center"/>
        <w:rPr>
          <w:rFonts w:ascii="Times New Roman" w:hAnsi="Times New Roman"/>
          <w:color w:val="000000"/>
          <w:sz w:val="24"/>
          <w:szCs w:val="24"/>
        </w:rPr>
      </w:pPr>
    </w:p>
    <w:p w14:paraId="7B7B9B34" w14:textId="77777777" w:rsidR="00304CF9" w:rsidRPr="00304CF9" w:rsidRDefault="00304CF9" w:rsidP="00304CF9">
      <w:pPr>
        <w:spacing w:line="480" w:lineRule="auto"/>
        <w:contextualSpacing/>
        <w:jc w:val="center"/>
        <w:rPr>
          <w:rFonts w:ascii="Times New Roman" w:hAnsi="Times New Roman"/>
          <w:color w:val="000000"/>
          <w:sz w:val="24"/>
          <w:szCs w:val="24"/>
        </w:rPr>
      </w:pPr>
    </w:p>
    <w:p w14:paraId="6A05A809"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4A9BE781" w14:textId="0C0D0122" w:rsidR="00FB601F" w:rsidRPr="00304CF9" w:rsidRDefault="1469CEC4" w:rsidP="00304CF9">
      <w:pPr>
        <w:spacing w:line="480" w:lineRule="auto"/>
        <w:contextualSpacing/>
        <w:jc w:val="center"/>
        <w:rPr>
          <w:rFonts w:ascii="Times New Roman" w:hAnsi="Times New Roman"/>
          <w:color w:val="000000" w:themeColor="text1"/>
          <w:sz w:val="24"/>
          <w:szCs w:val="24"/>
        </w:rPr>
      </w:pPr>
      <w:r w:rsidRPr="00304CF9">
        <w:rPr>
          <w:rFonts w:ascii="Times New Roman" w:hAnsi="Times New Roman"/>
          <w:sz w:val="24"/>
          <w:szCs w:val="24"/>
        </w:rPr>
        <w:t>Business Law Case Study</w:t>
      </w:r>
    </w:p>
    <w:p w14:paraId="69E040C5" w14:textId="69F12AFF" w:rsidR="00BB6B0B" w:rsidRPr="00304CF9" w:rsidRDefault="1469CEC4" w:rsidP="00304CF9">
      <w:pPr>
        <w:spacing w:line="480" w:lineRule="auto"/>
        <w:contextualSpacing/>
        <w:jc w:val="center"/>
        <w:rPr>
          <w:rFonts w:ascii="Times New Roman" w:hAnsi="Times New Roman"/>
          <w:color w:val="000000" w:themeColor="text1"/>
          <w:sz w:val="24"/>
          <w:szCs w:val="24"/>
        </w:rPr>
      </w:pPr>
      <w:proofErr w:type="spellStart"/>
      <w:r w:rsidRPr="00304CF9">
        <w:rPr>
          <w:rFonts w:ascii="Times New Roman" w:hAnsi="Times New Roman"/>
          <w:color w:val="000000" w:themeColor="text1"/>
          <w:sz w:val="24"/>
          <w:szCs w:val="24"/>
        </w:rPr>
        <w:t>Fransaita</w:t>
      </w:r>
      <w:proofErr w:type="spellEnd"/>
      <w:r w:rsidRPr="00304CF9">
        <w:rPr>
          <w:rFonts w:ascii="Times New Roman" w:hAnsi="Times New Roman"/>
          <w:color w:val="000000" w:themeColor="text1"/>
          <w:sz w:val="24"/>
          <w:szCs w:val="24"/>
        </w:rPr>
        <w:t xml:space="preserve"> Hazelwood</w:t>
      </w:r>
    </w:p>
    <w:p w14:paraId="21460A93" w14:textId="640B7AEF" w:rsidR="00BB6B0B" w:rsidRPr="00304CF9" w:rsidRDefault="1469CEC4" w:rsidP="00304CF9">
      <w:pPr>
        <w:spacing w:line="480" w:lineRule="auto"/>
        <w:contextualSpacing/>
        <w:jc w:val="center"/>
        <w:rPr>
          <w:rFonts w:ascii="Times New Roman" w:hAnsi="Times New Roman"/>
          <w:color w:val="000000" w:themeColor="text1"/>
          <w:sz w:val="24"/>
          <w:szCs w:val="24"/>
        </w:rPr>
      </w:pPr>
      <w:r w:rsidRPr="00304CF9">
        <w:rPr>
          <w:rFonts w:ascii="Times New Roman" w:hAnsi="Times New Roman"/>
          <w:color w:val="000000" w:themeColor="text1"/>
          <w:sz w:val="24"/>
          <w:szCs w:val="24"/>
        </w:rPr>
        <w:t>Southern New Hampshire University</w:t>
      </w:r>
    </w:p>
    <w:p w14:paraId="41C8F396"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72A3D3EC"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0D0B940D"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0E27B00A"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60061E4C"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44EAFD9C"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4B94D5A5"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3DEEC669"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3656B9AB"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45FB0818" w14:textId="77777777" w:rsidR="00BB6B0B" w:rsidRPr="00304CF9" w:rsidRDefault="00BB6B0B" w:rsidP="00304CF9">
      <w:pPr>
        <w:spacing w:line="480" w:lineRule="auto"/>
        <w:contextualSpacing/>
        <w:jc w:val="center"/>
        <w:rPr>
          <w:rFonts w:ascii="Times New Roman" w:hAnsi="Times New Roman"/>
          <w:color w:val="000000"/>
          <w:sz w:val="24"/>
          <w:szCs w:val="24"/>
        </w:rPr>
      </w:pPr>
    </w:p>
    <w:p w14:paraId="074E2CFC" w14:textId="77777777" w:rsidR="00F06D6B" w:rsidRPr="00304CF9" w:rsidRDefault="00F06D6B" w:rsidP="00304CF9">
      <w:pPr>
        <w:spacing w:line="480" w:lineRule="auto"/>
        <w:contextualSpacing/>
        <w:jc w:val="center"/>
        <w:rPr>
          <w:rFonts w:ascii="Times New Roman" w:hAnsi="Times New Roman"/>
          <w:color w:val="000000"/>
          <w:sz w:val="24"/>
          <w:szCs w:val="24"/>
        </w:rPr>
      </w:pPr>
    </w:p>
    <w:p w14:paraId="6AB75F25" w14:textId="257A296D" w:rsidR="00FB601F" w:rsidRPr="00304CF9" w:rsidRDefault="00FB601F" w:rsidP="00304CF9">
      <w:pPr>
        <w:spacing w:line="480" w:lineRule="auto"/>
        <w:contextualSpacing/>
        <w:jc w:val="both"/>
        <w:rPr>
          <w:rFonts w:ascii="Times New Roman" w:hAnsi="Times New Roman"/>
          <w:color w:val="000000"/>
          <w:sz w:val="24"/>
          <w:szCs w:val="24"/>
        </w:rPr>
      </w:pPr>
    </w:p>
    <w:p w14:paraId="5A93F471" w14:textId="77777777" w:rsidR="00304CF9" w:rsidRPr="00304CF9" w:rsidRDefault="00304CF9" w:rsidP="00304CF9">
      <w:pPr>
        <w:spacing w:line="480" w:lineRule="auto"/>
        <w:contextualSpacing/>
        <w:jc w:val="both"/>
        <w:rPr>
          <w:rFonts w:ascii="Times New Roman" w:hAnsi="Times New Roman"/>
          <w:sz w:val="24"/>
          <w:szCs w:val="24"/>
        </w:rPr>
      </w:pPr>
    </w:p>
    <w:p w14:paraId="3F5726A4" w14:textId="7A975AEF" w:rsidR="00E62AEC" w:rsidRPr="00304CF9" w:rsidRDefault="00F56EBA"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lastRenderedPageBreak/>
        <w:t>Rules of Jurisdiction</w:t>
      </w:r>
    </w:p>
    <w:p w14:paraId="090812DB" w14:textId="2121EFFC" w:rsidR="00E62AEC" w:rsidRPr="00304CF9" w:rsidRDefault="00E62AEC"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The term jurisdiction</w:t>
      </w:r>
      <w:r w:rsidR="00FD773F" w:rsidRPr="00304CF9">
        <w:rPr>
          <w:rFonts w:ascii="Times New Roman" w:hAnsi="Times New Roman"/>
          <w:sz w:val="24"/>
          <w:szCs w:val="24"/>
        </w:rPr>
        <w:t xml:space="preserve"> may either refer</w:t>
      </w:r>
      <w:r w:rsidRPr="00304CF9">
        <w:rPr>
          <w:rFonts w:ascii="Times New Roman" w:hAnsi="Times New Roman"/>
          <w:sz w:val="24"/>
          <w:szCs w:val="24"/>
        </w:rPr>
        <w:t xml:space="preserve"> to the </w:t>
      </w:r>
      <w:r w:rsidR="00FD773F" w:rsidRPr="00304CF9">
        <w:rPr>
          <w:rFonts w:ascii="Times New Roman" w:hAnsi="Times New Roman"/>
          <w:b/>
          <w:sz w:val="24"/>
          <w:szCs w:val="24"/>
        </w:rPr>
        <w:t>p</w:t>
      </w:r>
      <w:r w:rsidRPr="00304CF9">
        <w:rPr>
          <w:rFonts w:ascii="Times New Roman" w:hAnsi="Times New Roman"/>
          <w:b/>
          <w:sz w:val="24"/>
          <w:szCs w:val="24"/>
        </w:rPr>
        <w:t>ower</w:t>
      </w:r>
      <w:r w:rsidRPr="00304CF9">
        <w:rPr>
          <w:rFonts w:ascii="Times New Roman" w:hAnsi="Times New Roman"/>
          <w:sz w:val="24"/>
          <w:szCs w:val="24"/>
        </w:rPr>
        <w:t xml:space="preserve"> of a court to ad</w:t>
      </w:r>
      <w:r w:rsidR="00FD773F" w:rsidRPr="00304CF9">
        <w:rPr>
          <w:rFonts w:ascii="Times New Roman" w:hAnsi="Times New Roman"/>
          <w:sz w:val="24"/>
          <w:szCs w:val="24"/>
        </w:rPr>
        <w:t>judicate cases and issue orders or the</w:t>
      </w:r>
      <w:r w:rsidR="00FD773F" w:rsidRPr="00304CF9">
        <w:rPr>
          <w:rFonts w:ascii="Times New Roman" w:hAnsi="Times New Roman"/>
          <w:b/>
          <w:sz w:val="24"/>
          <w:szCs w:val="24"/>
        </w:rPr>
        <w:t xml:space="preserve"> t</w:t>
      </w:r>
      <w:r w:rsidRPr="00304CF9">
        <w:rPr>
          <w:rFonts w:ascii="Times New Roman" w:hAnsi="Times New Roman"/>
          <w:b/>
          <w:sz w:val="24"/>
          <w:szCs w:val="24"/>
        </w:rPr>
        <w:t>erritory</w:t>
      </w:r>
      <w:r w:rsidRPr="00304CF9">
        <w:rPr>
          <w:rFonts w:ascii="Times New Roman" w:hAnsi="Times New Roman"/>
          <w:sz w:val="24"/>
          <w:szCs w:val="24"/>
        </w:rPr>
        <w:t xml:space="preserve"> within which a court or government agency may properly exercise its </w:t>
      </w:r>
      <w:r w:rsidR="00FD773F" w:rsidRPr="00304CF9">
        <w:rPr>
          <w:rFonts w:ascii="Times New Roman" w:hAnsi="Times New Roman"/>
          <w:sz w:val="24"/>
          <w:szCs w:val="24"/>
        </w:rPr>
        <w:t xml:space="preserve">constitutional </w:t>
      </w:r>
      <w:r w:rsidRPr="00304CF9">
        <w:rPr>
          <w:rFonts w:ascii="Times New Roman" w:hAnsi="Times New Roman"/>
          <w:sz w:val="24"/>
          <w:szCs w:val="24"/>
        </w:rPr>
        <w:t>power</w:t>
      </w:r>
      <w:r w:rsidR="00FD773F" w:rsidRPr="00304CF9">
        <w:rPr>
          <w:rFonts w:ascii="Times New Roman" w:hAnsi="Times New Roman"/>
          <w:sz w:val="24"/>
          <w:szCs w:val="24"/>
        </w:rPr>
        <w:t xml:space="preserve"> and or mandate. There are various classifications of jurisdictions, including personal, subject matter and/ or territorial jurisdictions. </w:t>
      </w:r>
      <w:r w:rsidR="0074329D" w:rsidRPr="00304CF9">
        <w:rPr>
          <w:rFonts w:ascii="Times New Roman" w:hAnsi="Times New Roman"/>
          <w:sz w:val="24"/>
          <w:szCs w:val="24"/>
        </w:rPr>
        <w:t>Other common forms of jurisdiction include</w:t>
      </w:r>
      <w:r w:rsidR="00FD773F" w:rsidRPr="00304CF9">
        <w:rPr>
          <w:rFonts w:ascii="Times New Roman" w:hAnsi="Times New Roman"/>
          <w:sz w:val="24"/>
          <w:szCs w:val="24"/>
        </w:rPr>
        <w:t xml:space="preserve"> appellate jurisdiction, </w:t>
      </w:r>
      <w:r w:rsidR="0074329D" w:rsidRPr="00304CF9">
        <w:rPr>
          <w:rFonts w:ascii="Times New Roman" w:hAnsi="Times New Roman"/>
          <w:sz w:val="24"/>
          <w:szCs w:val="24"/>
        </w:rPr>
        <w:t>concurrent jurisdiction and diversity jurisdiction</w:t>
      </w:r>
      <w:sdt>
        <w:sdtPr>
          <w:rPr>
            <w:rFonts w:ascii="Times New Roman" w:hAnsi="Times New Roman"/>
            <w:sz w:val="24"/>
            <w:szCs w:val="24"/>
          </w:rPr>
          <w:id w:val="-279563087"/>
          <w:citation/>
        </w:sdtPr>
        <w:sdtContent>
          <w:r w:rsidR="00F56EBA" w:rsidRPr="00304CF9">
            <w:rPr>
              <w:rFonts w:ascii="Times New Roman" w:hAnsi="Times New Roman"/>
              <w:sz w:val="24"/>
              <w:szCs w:val="24"/>
            </w:rPr>
            <w:fldChar w:fldCharType="begin"/>
          </w:r>
          <w:r w:rsidR="00F56EBA" w:rsidRPr="00304CF9">
            <w:rPr>
              <w:rFonts w:ascii="Times New Roman" w:hAnsi="Times New Roman"/>
              <w:sz w:val="24"/>
              <w:szCs w:val="24"/>
            </w:rPr>
            <w:instrText xml:space="preserve"> CITATION Cor18 \l 1033 </w:instrText>
          </w:r>
          <w:r w:rsidR="00F56EBA" w:rsidRPr="00304CF9">
            <w:rPr>
              <w:rFonts w:ascii="Times New Roman" w:hAnsi="Times New Roman"/>
              <w:sz w:val="24"/>
              <w:szCs w:val="24"/>
            </w:rPr>
            <w:fldChar w:fldCharType="separate"/>
          </w:r>
          <w:r w:rsidR="00F56EBA" w:rsidRPr="00304CF9">
            <w:rPr>
              <w:rFonts w:ascii="Times New Roman" w:hAnsi="Times New Roman"/>
              <w:noProof/>
              <w:sz w:val="24"/>
              <w:szCs w:val="24"/>
            </w:rPr>
            <w:t xml:space="preserve"> (Cornell Law School, 2018)</w:t>
          </w:r>
          <w:r w:rsidR="00F56EBA" w:rsidRPr="00304CF9">
            <w:rPr>
              <w:rFonts w:ascii="Times New Roman" w:hAnsi="Times New Roman"/>
              <w:sz w:val="24"/>
              <w:szCs w:val="24"/>
            </w:rPr>
            <w:fldChar w:fldCharType="end"/>
          </w:r>
        </w:sdtContent>
      </w:sdt>
      <w:r w:rsidR="0074329D" w:rsidRPr="00304CF9">
        <w:rPr>
          <w:rFonts w:ascii="Times New Roman" w:hAnsi="Times New Roman"/>
          <w:sz w:val="24"/>
          <w:szCs w:val="24"/>
        </w:rPr>
        <w:t>. However, under the circumstances of this case, perhaps the chief question lies on which court can hear and adjudicate the issue in question, and whether they have the mandate to hear such issues.</w:t>
      </w:r>
    </w:p>
    <w:p w14:paraId="6301D24F" w14:textId="024E1854" w:rsidR="00FB601F" w:rsidRPr="00304CF9" w:rsidRDefault="00FB601F" w:rsidP="00304CF9">
      <w:pPr>
        <w:spacing w:line="480" w:lineRule="auto"/>
        <w:contextualSpacing/>
        <w:jc w:val="both"/>
        <w:rPr>
          <w:rFonts w:ascii="Times New Roman" w:hAnsi="Times New Roman"/>
          <w:b/>
          <w:sz w:val="24"/>
          <w:szCs w:val="24"/>
        </w:rPr>
      </w:pPr>
      <w:r w:rsidRPr="00304CF9">
        <w:rPr>
          <w:rFonts w:ascii="Times New Roman" w:hAnsi="Times New Roman"/>
          <w:b/>
          <w:sz w:val="24"/>
          <w:szCs w:val="24"/>
        </w:rPr>
        <w:t xml:space="preserve">Personal </w:t>
      </w:r>
      <w:r w:rsidR="00E62AEC" w:rsidRPr="00304CF9">
        <w:rPr>
          <w:rFonts w:ascii="Times New Roman" w:hAnsi="Times New Roman"/>
          <w:b/>
          <w:sz w:val="24"/>
          <w:szCs w:val="24"/>
        </w:rPr>
        <w:t xml:space="preserve">Jurisdiction </w:t>
      </w:r>
    </w:p>
    <w:p w14:paraId="76A93688" w14:textId="7AA957D4" w:rsidR="00052F93" w:rsidRPr="00304CF9" w:rsidRDefault="00FB601F" w:rsidP="00304CF9">
      <w:pPr>
        <w:spacing w:line="480" w:lineRule="auto"/>
        <w:ind w:firstLine="720"/>
        <w:contextualSpacing/>
        <w:jc w:val="both"/>
        <w:rPr>
          <w:rFonts w:ascii="Times New Roman" w:hAnsi="Times New Roman"/>
          <w:sz w:val="24"/>
          <w:szCs w:val="24"/>
        </w:rPr>
      </w:pPr>
      <w:r w:rsidRPr="00304CF9">
        <w:rPr>
          <w:rFonts w:ascii="Times New Roman" w:hAnsi="Times New Roman"/>
          <w:sz w:val="24"/>
          <w:szCs w:val="24"/>
        </w:rPr>
        <w:t>Personal jurisdiction defines the ability of the court to hear and determine the lawsuit comprising of a defendant by the virtue of the defendant having certain contacts of the exact posit</w:t>
      </w:r>
      <w:r w:rsidR="003B621D" w:rsidRPr="00304CF9">
        <w:rPr>
          <w:rFonts w:ascii="Times New Roman" w:hAnsi="Times New Roman"/>
          <w:sz w:val="24"/>
          <w:szCs w:val="24"/>
        </w:rPr>
        <w:t>ion where the court is situated</w:t>
      </w:r>
      <w:r w:rsidRPr="00304CF9">
        <w:rPr>
          <w:rFonts w:ascii="Times New Roman" w:hAnsi="Times New Roman"/>
          <w:color w:val="000000"/>
          <w:sz w:val="24"/>
          <w:szCs w:val="24"/>
          <w:shd w:val="clear" w:color="auto" w:fill="FFFFFF"/>
        </w:rPr>
        <w:t>.</w:t>
      </w:r>
      <w:r w:rsidRPr="00304CF9">
        <w:rPr>
          <w:rFonts w:ascii="Times New Roman" w:hAnsi="Times New Roman"/>
          <w:sz w:val="24"/>
          <w:szCs w:val="24"/>
        </w:rPr>
        <w:t xml:space="preserve"> </w:t>
      </w:r>
      <w:r w:rsidR="0074329D" w:rsidRPr="00304CF9">
        <w:rPr>
          <w:rFonts w:ascii="Times New Roman" w:hAnsi="Times New Roman"/>
          <w:sz w:val="24"/>
          <w:szCs w:val="24"/>
        </w:rPr>
        <w:t xml:space="preserve">It defines the ability or power of a court to hear and determine </w:t>
      </w:r>
      <w:r w:rsidR="004E222D" w:rsidRPr="00304CF9">
        <w:rPr>
          <w:rFonts w:ascii="Times New Roman" w:hAnsi="Times New Roman"/>
          <w:sz w:val="24"/>
          <w:szCs w:val="24"/>
        </w:rPr>
        <w:t xml:space="preserve">a case against a person, an object/ item (e.g. peace of land), and or affect the particular interests of any party to the suit. This jurisdictional question applies to </w:t>
      </w:r>
      <w:r w:rsidRPr="00304CF9">
        <w:rPr>
          <w:rFonts w:ascii="Times New Roman" w:hAnsi="Times New Roman"/>
          <w:sz w:val="24"/>
          <w:szCs w:val="24"/>
        </w:rPr>
        <w:t>the fac</w:t>
      </w:r>
      <w:r w:rsidR="004E222D" w:rsidRPr="00304CF9">
        <w:rPr>
          <w:rFonts w:ascii="Times New Roman" w:hAnsi="Times New Roman"/>
          <w:sz w:val="24"/>
          <w:szCs w:val="24"/>
        </w:rPr>
        <w:t>ts of this case in that the court hearing takes place in a state different from</w:t>
      </w:r>
      <w:r w:rsidR="00F56EBA" w:rsidRPr="00304CF9">
        <w:rPr>
          <w:rFonts w:ascii="Times New Roman" w:hAnsi="Times New Roman"/>
          <w:sz w:val="24"/>
          <w:szCs w:val="24"/>
        </w:rPr>
        <w:t xml:space="preserve"> that of which the defendants ca</w:t>
      </w:r>
      <w:r w:rsidR="004E222D" w:rsidRPr="00304CF9">
        <w:rPr>
          <w:rFonts w:ascii="Times New Roman" w:hAnsi="Times New Roman"/>
          <w:sz w:val="24"/>
          <w:szCs w:val="24"/>
        </w:rPr>
        <w:t>me from, with each state having its own set of Statutes and judicial system</w:t>
      </w:r>
      <w:sdt>
        <w:sdtPr>
          <w:rPr>
            <w:rFonts w:ascii="Times New Roman" w:hAnsi="Times New Roman"/>
            <w:sz w:val="24"/>
            <w:szCs w:val="24"/>
          </w:rPr>
          <w:id w:val="463312474"/>
          <w:citation/>
        </w:sdtPr>
        <w:sdtContent>
          <w:r w:rsidR="00F56EBA" w:rsidRPr="00304CF9">
            <w:rPr>
              <w:rFonts w:ascii="Times New Roman" w:hAnsi="Times New Roman"/>
              <w:sz w:val="24"/>
              <w:szCs w:val="24"/>
            </w:rPr>
            <w:fldChar w:fldCharType="begin"/>
          </w:r>
          <w:r w:rsidR="00F56EBA" w:rsidRPr="00304CF9">
            <w:rPr>
              <w:rFonts w:ascii="Times New Roman" w:hAnsi="Times New Roman"/>
              <w:sz w:val="24"/>
              <w:szCs w:val="24"/>
            </w:rPr>
            <w:instrText xml:space="preserve"> CITATION Fin18 \l 1033 </w:instrText>
          </w:r>
          <w:r w:rsidR="00F56EBA" w:rsidRPr="00304CF9">
            <w:rPr>
              <w:rFonts w:ascii="Times New Roman" w:hAnsi="Times New Roman"/>
              <w:sz w:val="24"/>
              <w:szCs w:val="24"/>
            </w:rPr>
            <w:fldChar w:fldCharType="separate"/>
          </w:r>
          <w:r w:rsidR="00F56EBA" w:rsidRPr="00304CF9">
            <w:rPr>
              <w:rFonts w:ascii="Times New Roman" w:hAnsi="Times New Roman"/>
              <w:noProof/>
              <w:sz w:val="24"/>
              <w:szCs w:val="24"/>
            </w:rPr>
            <w:t xml:space="preserve"> (FindLaw, 2018)</w:t>
          </w:r>
          <w:r w:rsidR="00F56EBA" w:rsidRPr="00304CF9">
            <w:rPr>
              <w:rFonts w:ascii="Times New Roman" w:hAnsi="Times New Roman"/>
              <w:sz w:val="24"/>
              <w:szCs w:val="24"/>
            </w:rPr>
            <w:fldChar w:fldCharType="end"/>
          </w:r>
        </w:sdtContent>
      </w:sdt>
      <w:r w:rsidR="00052F93" w:rsidRPr="00304CF9">
        <w:rPr>
          <w:rFonts w:ascii="Times New Roman" w:hAnsi="Times New Roman"/>
          <w:sz w:val="24"/>
          <w:szCs w:val="24"/>
        </w:rPr>
        <w:t>. There is a statutory guidance, however.</w:t>
      </w:r>
    </w:p>
    <w:p w14:paraId="0A6822E6" w14:textId="7FE7429E" w:rsidR="00FB601F" w:rsidRPr="00304CF9" w:rsidRDefault="00052F93" w:rsidP="00304CF9">
      <w:pPr>
        <w:spacing w:line="480" w:lineRule="auto"/>
        <w:ind w:firstLine="720"/>
        <w:contextualSpacing/>
        <w:jc w:val="both"/>
        <w:rPr>
          <w:rFonts w:ascii="Times New Roman" w:hAnsi="Times New Roman"/>
          <w:sz w:val="24"/>
          <w:szCs w:val="24"/>
        </w:rPr>
      </w:pPr>
      <w:r w:rsidRPr="00304CF9">
        <w:rPr>
          <w:rFonts w:ascii="Times New Roman" w:hAnsi="Times New Roman"/>
          <w:sz w:val="24"/>
          <w:szCs w:val="24"/>
        </w:rPr>
        <w:t>It i</w:t>
      </w:r>
      <w:r w:rsidR="00FB601F" w:rsidRPr="00304CF9">
        <w:rPr>
          <w:rFonts w:ascii="Times New Roman" w:hAnsi="Times New Roman"/>
          <w:sz w:val="24"/>
          <w:szCs w:val="24"/>
        </w:rPr>
        <w:t>s indicated that if an individual is to go to another State for a short duration he or she will be put to power o</w:t>
      </w:r>
      <w:r w:rsidR="003C4E0E" w:rsidRPr="00304CF9">
        <w:rPr>
          <w:rFonts w:ascii="Times New Roman" w:hAnsi="Times New Roman"/>
          <w:sz w:val="24"/>
          <w:szCs w:val="24"/>
        </w:rPr>
        <w:t xml:space="preserve">f administrations’ sovereignty. This is the Federal Minimal State Contact </w:t>
      </w:r>
      <w:r w:rsidRPr="00304CF9">
        <w:rPr>
          <w:rFonts w:ascii="Times New Roman" w:hAnsi="Times New Roman"/>
          <w:sz w:val="24"/>
          <w:szCs w:val="24"/>
        </w:rPr>
        <w:t>Act</w:t>
      </w:r>
      <w:r w:rsidR="003C4E0E" w:rsidRPr="00304CF9">
        <w:rPr>
          <w:rFonts w:ascii="Times New Roman" w:hAnsi="Times New Roman"/>
          <w:sz w:val="24"/>
          <w:szCs w:val="24"/>
        </w:rPr>
        <w:t>.</w:t>
      </w:r>
      <w:r w:rsidRPr="00304CF9">
        <w:rPr>
          <w:rFonts w:ascii="Times New Roman" w:hAnsi="Times New Roman"/>
          <w:sz w:val="24"/>
          <w:szCs w:val="24"/>
        </w:rPr>
        <w:t xml:space="preserve"> Minimum Contacts Act indicates that the defendant should have acquired the actions that were resolutely focused towards the forum state. This Act directly affects the actions of the six parties because they only marketing commodities in the state, and doing regular visits of the state </w:t>
      </w:r>
      <w:r w:rsidRPr="00304CF9">
        <w:rPr>
          <w:rFonts w:ascii="Times New Roman" w:hAnsi="Times New Roman"/>
          <w:sz w:val="24"/>
          <w:szCs w:val="24"/>
        </w:rPr>
        <w:lastRenderedPageBreak/>
        <w:t>or taking the products to the state</w:t>
      </w:r>
      <w:sdt>
        <w:sdtPr>
          <w:rPr>
            <w:rFonts w:ascii="Times New Roman" w:hAnsi="Times New Roman"/>
            <w:sz w:val="24"/>
            <w:szCs w:val="24"/>
          </w:rPr>
          <w:id w:val="-325676550"/>
          <w:citation/>
        </w:sdtPr>
        <w:sdtContent>
          <w:r w:rsidR="005B75CF" w:rsidRPr="00304CF9">
            <w:rPr>
              <w:rFonts w:ascii="Times New Roman" w:hAnsi="Times New Roman"/>
              <w:sz w:val="24"/>
              <w:szCs w:val="24"/>
            </w:rPr>
            <w:fldChar w:fldCharType="begin"/>
          </w:r>
          <w:r w:rsidR="005B75CF" w:rsidRPr="00304CF9">
            <w:rPr>
              <w:rFonts w:ascii="Times New Roman" w:hAnsi="Times New Roman"/>
              <w:sz w:val="24"/>
              <w:szCs w:val="24"/>
            </w:rPr>
            <w:instrText xml:space="preserve"> CITATION Lin17 \l 1033 </w:instrText>
          </w:r>
          <w:r w:rsidR="005B75CF" w:rsidRPr="00304CF9">
            <w:rPr>
              <w:rFonts w:ascii="Times New Roman" w:hAnsi="Times New Roman"/>
              <w:sz w:val="24"/>
              <w:szCs w:val="24"/>
            </w:rPr>
            <w:fldChar w:fldCharType="separate"/>
          </w:r>
          <w:r w:rsidR="005B75CF" w:rsidRPr="00304CF9">
            <w:rPr>
              <w:rFonts w:ascii="Times New Roman" w:hAnsi="Times New Roman"/>
              <w:noProof/>
              <w:sz w:val="24"/>
              <w:szCs w:val="24"/>
            </w:rPr>
            <w:t xml:space="preserve"> (Mullenix, 2017)</w:t>
          </w:r>
          <w:r w:rsidR="005B75CF" w:rsidRPr="00304CF9">
            <w:rPr>
              <w:rFonts w:ascii="Times New Roman" w:hAnsi="Times New Roman"/>
              <w:sz w:val="24"/>
              <w:szCs w:val="24"/>
            </w:rPr>
            <w:fldChar w:fldCharType="end"/>
          </w:r>
        </w:sdtContent>
      </w:sdt>
      <w:r w:rsidRPr="00304CF9">
        <w:rPr>
          <w:rFonts w:ascii="Times New Roman" w:hAnsi="Times New Roman"/>
          <w:sz w:val="24"/>
          <w:szCs w:val="24"/>
        </w:rPr>
        <w:t>. Therefore to exercise the jurisdiction, the Minimum Contacts Act directly affected the courts’ jurisdictional mandate to hear this particular case.</w:t>
      </w:r>
    </w:p>
    <w:p w14:paraId="0A9A0806" w14:textId="77777777" w:rsidR="00FB601F" w:rsidRPr="00304CF9" w:rsidRDefault="00FB601F" w:rsidP="00304CF9">
      <w:pPr>
        <w:spacing w:line="480" w:lineRule="auto"/>
        <w:contextualSpacing/>
        <w:jc w:val="both"/>
        <w:rPr>
          <w:rFonts w:ascii="Times New Roman" w:hAnsi="Times New Roman"/>
          <w:b/>
          <w:sz w:val="24"/>
          <w:szCs w:val="24"/>
        </w:rPr>
      </w:pPr>
      <w:r w:rsidRPr="00304CF9">
        <w:rPr>
          <w:rFonts w:ascii="Times New Roman" w:hAnsi="Times New Roman"/>
          <w:b/>
          <w:sz w:val="24"/>
          <w:szCs w:val="24"/>
        </w:rPr>
        <w:t>Subject matter jurisdiction</w:t>
      </w:r>
    </w:p>
    <w:p w14:paraId="3DB4BA26" w14:textId="19CB5989" w:rsidR="00FB601F" w:rsidRPr="00304CF9" w:rsidRDefault="003C4E0E" w:rsidP="00304CF9">
      <w:pPr>
        <w:spacing w:line="480" w:lineRule="auto"/>
        <w:ind w:firstLine="720"/>
        <w:contextualSpacing/>
        <w:jc w:val="both"/>
        <w:rPr>
          <w:rFonts w:ascii="Times New Roman" w:hAnsi="Times New Roman"/>
          <w:sz w:val="24"/>
          <w:szCs w:val="24"/>
        </w:rPr>
      </w:pPr>
      <w:r w:rsidRPr="00304CF9">
        <w:rPr>
          <w:rFonts w:ascii="Times New Roman" w:hAnsi="Times New Roman"/>
          <w:sz w:val="24"/>
          <w:szCs w:val="24"/>
        </w:rPr>
        <w:t>This kind of jurisdiction raises the legal issue of whether</w:t>
      </w:r>
      <w:r w:rsidR="00FB601F" w:rsidRPr="00304CF9">
        <w:rPr>
          <w:rFonts w:ascii="Times New Roman" w:hAnsi="Times New Roman"/>
          <w:sz w:val="24"/>
          <w:szCs w:val="24"/>
        </w:rPr>
        <w:t xml:space="preserve"> a court can be in a position to hear a case on a specific subject</w:t>
      </w:r>
      <w:r w:rsidRPr="00304CF9">
        <w:rPr>
          <w:rFonts w:ascii="Times New Roman" w:hAnsi="Times New Roman"/>
          <w:sz w:val="24"/>
          <w:szCs w:val="24"/>
        </w:rPr>
        <w:t xml:space="preserve"> like contract issue, tort law violation, or a civil proceeding</w:t>
      </w:r>
      <w:r w:rsidR="00FB601F" w:rsidRPr="00304CF9">
        <w:rPr>
          <w:rFonts w:ascii="Times New Roman" w:hAnsi="Times New Roman"/>
          <w:sz w:val="24"/>
          <w:szCs w:val="24"/>
        </w:rPr>
        <w:t>.</w:t>
      </w:r>
      <w:r w:rsidRPr="00304CF9">
        <w:rPr>
          <w:rFonts w:ascii="Times New Roman" w:hAnsi="Times New Roman"/>
          <w:i/>
          <w:iCs/>
          <w:sz w:val="24"/>
          <w:szCs w:val="24"/>
        </w:rPr>
        <w:t xml:space="preserve"> </w:t>
      </w:r>
      <w:r w:rsidR="00B33F96" w:rsidRPr="00304CF9">
        <w:rPr>
          <w:rFonts w:ascii="Times New Roman" w:hAnsi="Times New Roman"/>
          <w:sz w:val="24"/>
          <w:szCs w:val="24"/>
        </w:rPr>
        <w:t>This will apply in the case to determine the claim that the contractor for Novelties Company Funny Face indicates that any individual purchasing their commodities is not able to sue Matt, Ian and Chris in a court of law. Subject matter jurisdictions could be interpreted in the particular case as either limited, exclusive, general or limited. For example, according to Article III (2) of the Congressional Statutes, the state law gave the State Court a general jurisdiction to determine the subject matter of the case</w:t>
      </w:r>
      <w:sdt>
        <w:sdtPr>
          <w:rPr>
            <w:rFonts w:ascii="Times New Roman" w:hAnsi="Times New Roman"/>
            <w:sz w:val="24"/>
            <w:szCs w:val="24"/>
          </w:rPr>
          <w:id w:val="475649445"/>
          <w:citation/>
        </w:sdtPr>
        <w:sdtContent>
          <w:r w:rsidR="009723ED" w:rsidRPr="00304CF9">
            <w:rPr>
              <w:rFonts w:ascii="Times New Roman" w:hAnsi="Times New Roman"/>
              <w:sz w:val="24"/>
              <w:szCs w:val="24"/>
            </w:rPr>
            <w:fldChar w:fldCharType="begin"/>
          </w:r>
          <w:r w:rsidR="009723ED" w:rsidRPr="00304CF9">
            <w:rPr>
              <w:rFonts w:ascii="Times New Roman" w:hAnsi="Times New Roman"/>
              <w:sz w:val="24"/>
              <w:szCs w:val="24"/>
            </w:rPr>
            <w:instrText xml:space="preserve"> CITATION Cor18 \l 1033 </w:instrText>
          </w:r>
          <w:r w:rsidR="009723ED" w:rsidRPr="00304CF9">
            <w:rPr>
              <w:rFonts w:ascii="Times New Roman" w:hAnsi="Times New Roman"/>
              <w:sz w:val="24"/>
              <w:szCs w:val="24"/>
            </w:rPr>
            <w:fldChar w:fldCharType="separate"/>
          </w:r>
          <w:r w:rsidR="009723ED" w:rsidRPr="00304CF9">
            <w:rPr>
              <w:rFonts w:ascii="Times New Roman" w:hAnsi="Times New Roman"/>
              <w:noProof/>
              <w:sz w:val="24"/>
              <w:szCs w:val="24"/>
            </w:rPr>
            <w:t xml:space="preserve"> (Cornell Law School, 2018)</w:t>
          </w:r>
          <w:r w:rsidR="009723ED" w:rsidRPr="00304CF9">
            <w:rPr>
              <w:rFonts w:ascii="Times New Roman" w:hAnsi="Times New Roman"/>
              <w:sz w:val="24"/>
              <w:szCs w:val="24"/>
            </w:rPr>
            <w:fldChar w:fldCharType="end"/>
          </w:r>
        </w:sdtContent>
      </w:sdt>
      <w:r w:rsidR="00B33F96" w:rsidRPr="00304CF9">
        <w:rPr>
          <w:rFonts w:ascii="Times New Roman" w:hAnsi="Times New Roman"/>
          <w:sz w:val="24"/>
          <w:szCs w:val="24"/>
        </w:rPr>
        <w:t xml:space="preserve">. </w:t>
      </w:r>
      <w:r w:rsidR="009723ED" w:rsidRPr="00304CF9">
        <w:rPr>
          <w:rFonts w:ascii="Times New Roman" w:hAnsi="Times New Roman"/>
          <w:sz w:val="24"/>
          <w:szCs w:val="24"/>
        </w:rPr>
        <w:t>From this argument, the court had a competent Territorial Jurisdiction over the matter as spelt out in the Due Process Clause (14</w:t>
      </w:r>
      <w:r w:rsidR="009723ED" w:rsidRPr="00304CF9">
        <w:rPr>
          <w:rFonts w:ascii="Times New Roman" w:hAnsi="Times New Roman"/>
          <w:sz w:val="24"/>
          <w:szCs w:val="24"/>
          <w:vertAlign w:val="superscript"/>
        </w:rPr>
        <w:t>th</w:t>
      </w:r>
      <w:r w:rsidR="009723ED" w:rsidRPr="00304CF9">
        <w:rPr>
          <w:rFonts w:ascii="Times New Roman" w:hAnsi="Times New Roman"/>
          <w:sz w:val="24"/>
          <w:szCs w:val="24"/>
        </w:rPr>
        <w:t xml:space="preserve"> Amendment of the Constitution).</w:t>
      </w:r>
    </w:p>
    <w:p w14:paraId="172F4A0D" w14:textId="66BF1B88" w:rsidR="00FB601F" w:rsidRPr="00304CF9" w:rsidRDefault="00052F93" w:rsidP="00304CF9">
      <w:pPr>
        <w:spacing w:line="480" w:lineRule="auto"/>
        <w:contextualSpacing/>
        <w:jc w:val="both"/>
        <w:rPr>
          <w:rFonts w:ascii="Times New Roman" w:hAnsi="Times New Roman"/>
          <w:color w:val="000000"/>
          <w:sz w:val="24"/>
          <w:szCs w:val="24"/>
        </w:rPr>
      </w:pPr>
      <w:r w:rsidRPr="00304CF9">
        <w:rPr>
          <w:rFonts w:ascii="Times New Roman" w:hAnsi="Times New Roman"/>
          <w:color w:val="000000"/>
          <w:sz w:val="24"/>
          <w:szCs w:val="24"/>
        </w:rPr>
        <w:t>Alternative Dispute Resolution (ADR)</w:t>
      </w:r>
      <w:r w:rsidR="00F216A8" w:rsidRPr="00304CF9">
        <w:rPr>
          <w:rFonts w:ascii="Times New Roman" w:hAnsi="Times New Roman"/>
          <w:color w:val="000000"/>
          <w:sz w:val="24"/>
          <w:szCs w:val="24"/>
        </w:rPr>
        <w:t xml:space="preserve"> and the Case</w:t>
      </w:r>
    </w:p>
    <w:p w14:paraId="2D2E7476" w14:textId="77312749" w:rsidR="00FB601F" w:rsidRPr="00304CF9" w:rsidRDefault="00C740DC" w:rsidP="00304CF9">
      <w:pPr>
        <w:spacing w:line="480" w:lineRule="auto"/>
        <w:contextualSpacing/>
        <w:jc w:val="both"/>
        <w:rPr>
          <w:rFonts w:ascii="Times New Roman" w:hAnsi="Times New Roman"/>
          <w:sz w:val="24"/>
          <w:szCs w:val="24"/>
        </w:rPr>
      </w:pPr>
      <w:r w:rsidRPr="00304CF9">
        <w:rPr>
          <w:rFonts w:ascii="Times New Roman" w:hAnsi="Times New Roman"/>
          <w:color w:val="000000"/>
          <w:sz w:val="24"/>
          <w:szCs w:val="24"/>
        </w:rPr>
        <w:t xml:space="preserve">         </w:t>
      </w:r>
      <w:r w:rsidRPr="00304CF9">
        <w:rPr>
          <w:rFonts w:ascii="Times New Roman" w:hAnsi="Times New Roman"/>
          <w:color w:val="000000"/>
          <w:sz w:val="24"/>
          <w:szCs w:val="24"/>
        </w:rPr>
        <w:tab/>
      </w:r>
      <w:r w:rsidRPr="00304CF9">
        <w:rPr>
          <w:rFonts w:ascii="Times New Roman" w:hAnsi="Times New Roman"/>
          <w:color w:val="000000"/>
          <w:sz w:val="24"/>
          <w:szCs w:val="24"/>
        </w:rPr>
        <w:tab/>
        <w:t xml:space="preserve">Alternative Dispute Resolution (ADR) refers to the mechanisms through which cases, whether criminal or civil in nature, may be resolved without the parties seeking injunctions from the court of law. </w:t>
      </w:r>
      <w:r w:rsidR="00F41E67" w:rsidRPr="00304CF9">
        <w:rPr>
          <w:rFonts w:ascii="Times New Roman" w:hAnsi="Times New Roman"/>
          <w:color w:val="000000"/>
          <w:sz w:val="24"/>
          <w:szCs w:val="24"/>
        </w:rPr>
        <w:t>It is a collective term for the ways that parties can settle disputes, with the help of a third party, short of</w:t>
      </w:r>
      <w:r w:rsidR="00F41E67" w:rsidRPr="00304CF9">
        <w:rPr>
          <w:rFonts w:ascii="Times New Roman" w:hAnsi="Times New Roman"/>
          <w:sz w:val="24"/>
          <w:szCs w:val="24"/>
        </w:rPr>
        <w:t xml:space="preserve"> </w:t>
      </w:r>
      <w:hyperlink r:id="rId9" w:tooltip="Litigation" w:history="1">
        <w:r w:rsidR="00F41E67" w:rsidRPr="00304CF9">
          <w:rPr>
            <w:rStyle w:val="Hyperlink"/>
            <w:rFonts w:ascii="Times New Roman" w:hAnsi="Times New Roman"/>
            <w:color w:val="auto"/>
            <w:sz w:val="24"/>
            <w:szCs w:val="24"/>
            <w:u w:val="none"/>
          </w:rPr>
          <w:t>litigation</w:t>
        </w:r>
      </w:hyperlink>
      <w:r w:rsidR="00F41E67" w:rsidRPr="00304CF9">
        <w:rPr>
          <w:rFonts w:ascii="Times New Roman" w:hAnsi="Times New Roman"/>
          <w:color w:val="000000"/>
          <w:sz w:val="24"/>
          <w:szCs w:val="24"/>
        </w:rPr>
        <w:t>. It is also referred to as External Dispute Resolution some countries like India. The mechanisms include</w:t>
      </w:r>
      <w:r w:rsidR="00F216A8" w:rsidRPr="00304CF9">
        <w:rPr>
          <w:rFonts w:ascii="Times New Roman" w:hAnsi="Times New Roman"/>
          <w:color w:val="000000"/>
          <w:sz w:val="24"/>
          <w:szCs w:val="24"/>
          <w:shd w:val="clear" w:color="auto" w:fill="FEFEFE"/>
        </w:rPr>
        <w:t xml:space="preserve"> arbitration, mediation, collation, </w:t>
      </w:r>
      <w:r w:rsidR="00F41E67" w:rsidRPr="00304CF9">
        <w:rPr>
          <w:rFonts w:ascii="Times New Roman" w:hAnsi="Times New Roman"/>
          <w:color w:val="000000"/>
          <w:sz w:val="24"/>
          <w:szCs w:val="24"/>
          <w:shd w:val="clear" w:color="auto" w:fill="FEFEFE"/>
        </w:rPr>
        <w:t>negotiation</w:t>
      </w:r>
      <w:r w:rsidR="00F216A8" w:rsidRPr="00304CF9">
        <w:rPr>
          <w:rFonts w:ascii="Times New Roman" w:hAnsi="Times New Roman"/>
          <w:color w:val="000000"/>
          <w:sz w:val="24"/>
          <w:szCs w:val="24"/>
          <w:shd w:val="clear" w:color="auto" w:fill="FEFEFE"/>
        </w:rPr>
        <w:t xml:space="preserve"> etc</w:t>
      </w:r>
      <w:r w:rsidR="00F41E67" w:rsidRPr="00304CF9">
        <w:rPr>
          <w:rFonts w:ascii="Times New Roman" w:hAnsi="Times New Roman"/>
          <w:color w:val="000000"/>
          <w:sz w:val="24"/>
          <w:szCs w:val="24"/>
          <w:shd w:val="clear" w:color="auto" w:fill="FEFEFE"/>
        </w:rPr>
        <w:t>. It is continuous being preferred on the grounds of lesser litigation, confidentiality, and the desire of some parties to have greater control over the selection of the third party arbitrators.</w:t>
      </w:r>
      <w:r w:rsidR="00F41E67" w:rsidRPr="00304CF9">
        <w:rPr>
          <w:rFonts w:ascii="Times New Roman" w:hAnsi="Times New Roman"/>
          <w:sz w:val="24"/>
          <w:szCs w:val="24"/>
        </w:rPr>
        <w:t xml:space="preserve"> </w:t>
      </w:r>
      <w:r w:rsidR="00F216A8" w:rsidRPr="00304CF9">
        <w:rPr>
          <w:rFonts w:ascii="Times New Roman" w:hAnsi="Times New Roman"/>
          <w:sz w:val="24"/>
          <w:szCs w:val="24"/>
        </w:rPr>
        <w:t>Most countries stress on these alternative methods for dispute resolution.</w:t>
      </w:r>
    </w:p>
    <w:p w14:paraId="2C06B55E" w14:textId="0A4D7F5F" w:rsidR="00D664B8" w:rsidRPr="00304CF9" w:rsidRDefault="00D664B8"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lastRenderedPageBreak/>
        <w:t>This particular case is composed of six parties - Funny Face, Novelty Now, individual three other owners and the plaintiff. Each may prefer a di</w:t>
      </w:r>
      <w:r w:rsidR="0092660B" w:rsidRPr="00304CF9">
        <w:rPr>
          <w:rFonts w:ascii="Times New Roman" w:hAnsi="Times New Roman"/>
          <w:sz w:val="24"/>
          <w:szCs w:val="24"/>
        </w:rPr>
        <w:t xml:space="preserve">fferent ways to resolve the case. The </w:t>
      </w:r>
      <w:r w:rsidRPr="00304CF9">
        <w:rPr>
          <w:rFonts w:ascii="Times New Roman" w:hAnsi="Times New Roman"/>
          <w:sz w:val="24"/>
          <w:szCs w:val="24"/>
        </w:rPr>
        <w:t>companies may want arbitration as it is more private – the plaintiff may want to go to court to use publicity to force a bigger settlement</w:t>
      </w:r>
      <w:r w:rsidR="0092660B" w:rsidRPr="00304CF9">
        <w:rPr>
          <w:rFonts w:ascii="Times New Roman" w:hAnsi="Times New Roman"/>
          <w:sz w:val="24"/>
          <w:szCs w:val="24"/>
        </w:rPr>
        <w:t>. The pros and cons on the use of mediation versus arbitration would be:</w:t>
      </w:r>
    </w:p>
    <w:p w14:paraId="17925129" w14:textId="38160C9E" w:rsidR="00F216A8" w:rsidRPr="00304CF9" w:rsidRDefault="00F216A8" w:rsidP="00304CF9">
      <w:pPr>
        <w:spacing w:line="480" w:lineRule="auto"/>
        <w:contextualSpacing/>
        <w:jc w:val="both"/>
        <w:rPr>
          <w:rFonts w:ascii="Times New Roman" w:hAnsi="Times New Roman"/>
          <w:b/>
          <w:sz w:val="24"/>
          <w:szCs w:val="24"/>
        </w:rPr>
      </w:pPr>
      <w:r w:rsidRPr="00304CF9">
        <w:rPr>
          <w:rFonts w:ascii="Times New Roman" w:hAnsi="Times New Roman"/>
          <w:b/>
          <w:sz w:val="24"/>
          <w:szCs w:val="24"/>
        </w:rPr>
        <w:t>Mediation</w:t>
      </w:r>
    </w:p>
    <w:p w14:paraId="334A8E3F" w14:textId="5D208634" w:rsidR="0092660B" w:rsidRPr="00304CF9" w:rsidRDefault="0092660B"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Mediation is defined as the process through which intervention is involved to create a solution to an issue</w:t>
      </w:r>
      <w:r w:rsidR="0098536C" w:rsidRPr="00304CF9">
        <w:rPr>
          <w:rFonts w:ascii="Times New Roman" w:hAnsi="Times New Roman"/>
          <w:sz w:val="24"/>
          <w:szCs w:val="24"/>
        </w:rPr>
        <w:t>, without any legally binding submission</w:t>
      </w:r>
      <w:r w:rsidRPr="00304CF9">
        <w:rPr>
          <w:rFonts w:ascii="Times New Roman" w:hAnsi="Times New Roman"/>
          <w:sz w:val="24"/>
          <w:szCs w:val="24"/>
        </w:rPr>
        <w:t xml:space="preserve">. There is a third party, a mediator, who helps the parties reach a solution but does </w:t>
      </w:r>
      <w:r w:rsidRPr="00304CF9">
        <w:rPr>
          <w:rFonts w:ascii="Times New Roman" w:hAnsi="Times New Roman"/>
          <w:iCs/>
          <w:sz w:val="24"/>
          <w:szCs w:val="24"/>
        </w:rPr>
        <w:t>not</w:t>
      </w:r>
      <w:r w:rsidRPr="00304CF9">
        <w:rPr>
          <w:rFonts w:ascii="Times New Roman" w:hAnsi="Times New Roman"/>
          <w:sz w:val="24"/>
          <w:szCs w:val="24"/>
        </w:rPr>
        <w:t xml:space="preserve"> impose a resolution on the parties. In this particular case, mediation would be important since it would allow the two parties</w:t>
      </w:r>
      <w:r w:rsidR="0098536C" w:rsidRPr="00304CF9">
        <w:rPr>
          <w:rFonts w:ascii="Times New Roman" w:hAnsi="Times New Roman"/>
          <w:sz w:val="24"/>
          <w:szCs w:val="24"/>
        </w:rPr>
        <w:t xml:space="preserve"> - Donald </w:t>
      </w:r>
      <w:proofErr w:type="spellStart"/>
      <w:r w:rsidR="0098536C" w:rsidRPr="00304CF9">
        <w:rPr>
          <w:rFonts w:ascii="Times New Roman" w:hAnsi="Times New Roman"/>
          <w:sz w:val="24"/>
          <w:szCs w:val="24"/>
        </w:rPr>
        <w:t>Margolin</w:t>
      </w:r>
      <w:proofErr w:type="spellEnd"/>
      <w:r w:rsidR="0098536C" w:rsidRPr="00304CF9">
        <w:rPr>
          <w:rFonts w:ascii="Times New Roman" w:hAnsi="Times New Roman"/>
          <w:sz w:val="24"/>
          <w:szCs w:val="24"/>
        </w:rPr>
        <w:t xml:space="preserve"> Empire Inc. and Novelty Now Inc. - </w:t>
      </w:r>
      <w:r w:rsidRPr="00304CF9">
        <w:rPr>
          <w:rFonts w:ascii="Times New Roman" w:hAnsi="Times New Roman"/>
          <w:sz w:val="24"/>
          <w:szCs w:val="24"/>
        </w:rPr>
        <w:t xml:space="preserve"> reach their own solution </w:t>
      </w:r>
      <w:r w:rsidR="0098536C" w:rsidRPr="00304CF9">
        <w:rPr>
          <w:rFonts w:ascii="Times New Roman" w:hAnsi="Times New Roman"/>
          <w:sz w:val="24"/>
          <w:szCs w:val="24"/>
        </w:rPr>
        <w:t>under their ow</w:t>
      </w:r>
      <w:r w:rsidRPr="00304CF9">
        <w:rPr>
          <w:rFonts w:ascii="Times New Roman" w:hAnsi="Times New Roman"/>
          <w:sz w:val="24"/>
          <w:szCs w:val="24"/>
        </w:rPr>
        <w:t>n terms, without any impositions. However, it would be hard to bring the parties together at first due to personal hostilities.</w:t>
      </w:r>
    </w:p>
    <w:p w14:paraId="67295092" w14:textId="3704E867" w:rsidR="0098536C" w:rsidRPr="00304CF9" w:rsidRDefault="0098536C" w:rsidP="00304CF9">
      <w:pPr>
        <w:spacing w:line="480" w:lineRule="auto"/>
        <w:contextualSpacing/>
        <w:jc w:val="both"/>
        <w:rPr>
          <w:rFonts w:ascii="Times New Roman" w:hAnsi="Times New Roman"/>
          <w:b/>
          <w:sz w:val="24"/>
          <w:szCs w:val="24"/>
        </w:rPr>
      </w:pPr>
      <w:r w:rsidRPr="00304CF9">
        <w:rPr>
          <w:rFonts w:ascii="Times New Roman" w:hAnsi="Times New Roman"/>
          <w:b/>
          <w:sz w:val="24"/>
          <w:szCs w:val="24"/>
        </w:rPr>
        <w:t>Arbitration</w:t>
      </w:r>
    </w:p>
    <w:p w14:paraId="008D26C8" w14:textId="1B22A0D6" w:rsidR="00FB601F" w:rsidRPr="00304CF9" w:rsidRDefault="0098536C"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In arbitration, the third party acts as a private judge who arbitrates the case and may impose a resolution upon the affected parties.</w:t>
      </w:r>
      <w:r w:rsidR="00B02146" w:rsidRPr="00304CF9">
        <w:rPr>
          <w:rFonts w:ascii="Times New Roman" w:hAnsi="Times New Roman"/>
          <w:sz w:val="24"/>
          <w:szCs w:val="24"/>
        </w:rPr>
        <w:t xml:space="preserve"> The agreement may be re-instated in court thus making it binding and enforceable</w:t>
      </w:r>
      <w:sdt>
        <w:sdtPr>
          <w:rPr>
            <w:rFonts w:ascii="Times New Roman" w:hAnsi="Times New Roman"/>
            <w:sz w:val="24"/>
            <w:szCs w:val="24"/>
          </w:rPr>
          <w:id w:val="-2106710981"/>
          <w:citation/>
        </w:sdtPr>
        <w:sdtContent>
          <w:r w:rsidR="005B75CF" w:rsidRPr="00304CF9">
            <w:rPr>
              <w:rFonts w:ascii="Times New Roman" w:hAnsi="Times New Roman"/>
              <w:sz w:val="24"/>
              <w:szCs w:val="24"/>
            </w:rPr>
            <w:fldChar w:fldCharType="begin"/>
          </w:r>
          <w:r w:rsidR="005B75CF" w:rsidRPr="00304CF9">
            <w:rPr>
              <w:rFonts w:ascii="Times New Roman" w:hAnsi="Times New Roman"/>
              <w:sz w:val="24"/>
              <w:szCs w:val="24"/>
            </w:rPr>
            <w:instrText xml:space="preserve"> CITATION Hir17 \l 1033 </w:instrText>
          </w:r>
          <w:r w:rsidR="005B75CF" w:rsidRPr="00304CF9">
            <w:rPr>
              <w:rFonts w:ascii="Times New Roman" w:hAnsi="Times New Roman"/>
              <w:sz w:val="24"/>
              <w:szCs w:val="24"/>
            </w:rPr>
            <w:fldChar w:fldCharType="separate"/>
          </w:r>
          <w:r w:rsidR="005B75CF" w:rsidRPr="00304CF9">
            <w:rPr>
              <w:rFonts w:ascii="Times New Roman" w:hAnsi="Times New Roman"/>
              <w:noProof/>
              <w:sz w:val="24"/>
              <w:szCs w:val="24"/>
            </w:rPr>
            <w:t xml:space="preserve"> (Aragaki, 2017)</w:t>
          </w:r>
          <w:r w:rsidR="005B75CF" w:rsidRPr="00304CF9">
            <w:rPr>
              <w:rFonts w:ascii="Times New Roman" w:hAnsi="Times New Roman"/>
              <w:sz w:val="24"/>
              <w:szCs w:val="24"/>
            </w:rPr>
            <w:fldChar w:fldCharType="end"/>
          </w:r>
        </w:sdtContent>
      </w:sdt>
      <w:r w:rsidR="00B02146" w:rsidRPr="00304CF9">
        <w:rPr>
          <w:rFonts w:ascii="Times New Roman" w:hAnsi="Times New Roman"/>
          <w:sz w:val="24"/>
          <w:szCs w:val="24"/>
        </w:rPr>
        <w:t>. The following would be the pros of arbitration on the lawsuit if all the parties agree to use it:</w:t>
      </w:r>
    </w:p>
    <w:p w14:paraId="422365A7" w14:textId="77777777" w:rsidR="00B02146" w:rsidRPr="00304CF9" w:rsidRDefault="00B02146" w:rsidP="00304CF9">
      <w:pPr>
        <w:pStyle w:val="ListParagraph"/>
        <w:numPr>
          <w:ilvl w:val="0"/>
          <w:numId w:val="1"/>
        </w:numPr>
        <w:spacing w:line="480" w:lineRule="auto"/>
        <w:jc w:val="both"/>
        <w:rPr>
          <w:rFonts w:ascii="Times New Roman" w:hAnsi="Times New Roman"/>
          <w:sz w:val="24"/>
          <w:szCs w:val="24"/>
        </w:rPr>
      </w:pPr>
      <w:r w:rsidRPr="00304CF9">
        <w:rPr>
          <w:rFonts w:ascii="Times New Roman" w:hAnsi="Times New Roman"/>
          <w:sz w:val="24"/>
          <w:szCs w:val="24"/>
        </w:rPr>
        <w:t xml:space="preserve">For Novelty Now, Inc. </w:t>
      </w:r>
      <w:r w:rsidR="00FB601F" w:rsidRPr="00304CF9">
        <w:rPr>
          <w:rFonts w:ascii="Times New Roman" w:hAnsi="Times New Roman"/>
          <w:sz w:val="24"/>
          <w:szCs w:val="24"/>
        </w:rPr>
        <w:t xml:space="preserve">the method </w:t>
      </w:r>
      <w:r w:rsidRPr="00304CF9">
        <w:rPr>
          <w:rFonts w:ascii="Times New Roman" w:hAnsi="Times New Roman"/>
          <w:sz w:val="24"/>
          <w:szCs w:val="24"/>
        </w:rPr>
        <w:t>would be cheaper because no lawyers would be hired to represent the Company in the process</w:t>
      </w:r>
      <w:r w:rsidR="00FB601F" w:rsidRPr="00304CF9">
        <w:rPr>
          <w:rFonts w:ascii="Times New Roman" w:hAnsi="Times New Roman"/>
          <w:sz w:val="24"/>
          <w:szCs w:val="24"/>
        </w:rPr>
        <w:t>.</w:t>
      </w:r>
    </w:p>
    <w:p w14:paraId="1BB1EBD2" w14:textId="75F25944" w:rsidR="00FB601F" w:rsidRPr="00304CF9" w:rsidRDefault="00B02146" w:rsidP="00304CF9">
      <w:pPr>
        <w:pStyle w:val="ListParagraph"/>
        <w:numPr>
          <w:ilvl w:val="0"/>
          <w:numId w:val="1"/>
        </w:numPr>
        <w:spacing w:line="480" w:lineRule="auto"/>
        <w:jc w:val="both"/>
        <w:rPr>
          <w:rFonts w:ascii="Times New Roman" w:hAnsi="Times New Roman"/>
          <w:sz w:val="24"/>
          <w:szCs w:val="24"/>
        </w:rPr>
      </w:pPr>
      <w:r w:rsidRPr="00304CF9">
        <w:rPr>
          <w:rFonts w:ascii="Times New Roman" w:hAnsi="Times New Roman"/>
          <w:sz w:val="24"/>
          <w:szCs w:val="24"/>
        </w:rPr>
        <w:t xml:space="preserve">It is speedy and therefore </w:t>
      </w:r>
      <w:r w:rsidR="00FB601F" w:rsidRPr="00304CF9">
        <w:rPr>
          <w:rFonts w:ascii="Times New Roman" w:hAnsi="Times New Roman"/>
          <w:sz w:val="24"/>
          <w:szCs w:val="24"/>
        </w:rPr>
        <w:t xml:space="preserve">Mr. </w:t>
      </w:r>
      <w:proofErr w:type="spellStart"/>
      <w:r w:rsidR="00FB601F" w:rsidRPr="00304CF9">
        <w:rPr>
          <w:rFonts w:ascii="Times New Roman" w:hAnsi="Times New Roman"/>
          <w:sz w:val="24"/>
          <w:szCs w:val="24"/>
        </w:rPr>
        <w:t>Margolin</w:t>
      </w:r>
      <w:proofErr w:type="spellEnd"/>
      <w:r w:rsidRPr="00304CF9">
        <w:rPr>
          <w:rFonts w:ascii="Times New Roman" w:hAnsi="Times New Roman"/>
          <w:sz w:val="24"/>
          <w:szCs w:val="24"/>
        </w:rPr>
        <w:t xml:space="preserve"> would</w:t>
      </w:r>
      <w:r w:rsidR="00FB601F" w:rsidRPr="00304CF9">
        <w:rPr>
          <w:rFonts w:ascii="Times New Roman" w:hAnsi="Times New Roman"/>
          <w:sz w:val="24"/>
          <w:szCs w:val="24"/>
        </w:rPr>
        <w:t xml:space="preserve"> recover faster when the </w:t>
      </w:r>
      <w:r w:rsidR="00F06D6B" w:rsidRPr="00304CF9">
        <w:rPr>
          <w:rFonts w:ascii="Times New Roman" w:hAnsi="Times New Roman"/>
          <w:sz w:val="24"/>
          <w:szCs w:val="24"/>
        </w:rPr>
        <w:t>issue is resolved early enough</w:t>
      </w:r>
      <w:r w:rsidR="00FB601F" w:rsidRPr="00304CF9">
        <w:rPr>
          <w:rFonts w:ascii="Times New Roman" w:hAnsi="Times New Roman"/>
          <w:color w:val="000000"/>
          <w:sz w:val="24"/>
          <w:szCs w:val="24"/>
          <w:shd w:val="clear" w:color="auto" w:fill="FFFFFF"/>
        </w:rPr>
        <w:t>.</w:t>
      </w:r>
    </w:p>
    <w:p w14:paraId="6D3458AC" w14:textId="12339E5F" w:rsidR="00ED437B" w:rsidRPr="00304CF9" w:rsidRDefault="00ED437B" w:rsidP="00304CF9">
      <w:pPr>
        <w:pStyle w:val="ListParagraph"/>
        <w:numPr>
          <w:ilvl w:val="0"/>
          <w:numId w:val="1"/>
        </w:numPr>
        <w:spacing w:line="480" w:lineRule="auto"/>
        <w:jc w:val="both"/>
        <w:rPr>
          <w:rFonts w:ascii="Times New Roman" w:hAnsi="Times New Roman"/>
          <w:sz w:val="24"/>
          <w:szCs w:val="24"/>
        </w:rPr>
      </w:pPr>
      <w:r w:rsidRPr="00304CF9">
        <w:rPr>
          <w:rFonts w:ascii="Times New Roman" w:hAnsi="Times New Roman"/>
          <w:color w:val="000000"/>
          <w:sz w:val="24"/>
          <w:szCs w:val="24"/>
          <w:shd w:val="clear" w:color="auto" w:fill="FFFFFF"/>
        </w:rPr>
        <w:lastRenderedPageBreak/>
        <w:t>The decision would be binding for all the parties making it more preferable compared to mediation.</w:t>
      </w:r>
    </w:p>
    <w:p w14:paraId="466C87AB" w14:textId="5F911D25" w:rsidR="00ED437B" w:rsidRPr="00304CF9" w:rsidRDefault="00ED437B" w:rsidP="00304CF9">
      <w:pPr>
        <w:pStyle w:val="ListParagraph"/>
        <w:numPr>
          <w:ilvl w:val="0"/>
          <w:numId w:val="1"/>
        </w:numPr>
        <w:spacing w:line="480" w:lineRule="auto"/>
        <w:jc w:val="both"/>
        <w:rPr>
          <w:rFonts w:ascii="Times New Roman" w:hAnsi="Times New Roman"/>
          <w:sz w:val="24"/>
          <w:szCs w:val="24"/>
        </w:rPr>
      </w:pPr>
      <w:r w:rsidRPr="00304CF9">
        <w:rPr>
          <w:rFonts w:ascii="Times New Roman" w:hAnsi="Times New Roman"/>
          <w:color w:val="000000"/>
          <w:sz w:val="24"/>
          <w:szCs w:val="24"/>
          <w:shd w:val="clear" w:color="auto" w:fill="FFFFFF"/>
        </w:rPr>
        <w:t>The decisions made during arbitration would be binding and would form a basis for any future decisions in relation to the subject matter.</w:t>
      </w:r>
    </w:p>
    <w:p w14:paraId="1A7A76DE" w14:textId="7519EA74" w:rsidR="00ED437B" w:rsidRPr="00304CF9" w:rsidRDefault="00B02146"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On the contrary, the cons would be that:</w:t>
      </w:r>
    </w:p>
    <w:p w14:paraId="31F5B1B2" w14:textId="71985B69" w:rsidR="00FB601F" w:rsidRPr="00304CF9" w:rsidRDefault="00ED437B" w:rsidP="00304CF9">
      <w:pPr>
        <w:pStyle w:val="ListParagraph"/>
        <w:numPr>
          <w:ilvl w:val="0"/>
          <w:numId w:val="2"/>
        </w:numPr>
        <w:spacing w:line="480" w:lineRule="auto"/>
        <w:jc w:val="both"/>
        <w:rPr>
          <w:rFonts w:ascii="Times New Roman" w:hAnsi="Times New Roman"/>
          <w:sz w:val="24"/>
          <w:szCs w:val="24"/>
        </w:rPr>
      </w:pPr>
      <w:r w:rsidRPr="00304CF9">
        <w:rPr>
          <w:rFonts w:ascii="Times New Roman" w:hAnsi="Times New Roman"/>
          <w:sz w:val="24"/>
          <w:szCs w:val="24"/>
        </w:rPr>
        <w:t xml:space="preserve">For </w:t>
      </w:r>
      <w:r w:rsidR="00EE610D" w:rsidRPr="00304CF9">
        <w:rPr>
          <w:rFonts w:ascii="Times New Roman" w:hAnsi="Times New Roman"/>
          <w:sz w:val="24"/>
          <w:szCs w:val="24"/>
        </w:rPr>
        <w:t>Novelty Now</w:t>
      </w:r>
      <w:r w:rsidRPr="00304CF9">
        <w:rPr>
          <w:rFonts w:ascii="Times New Roman" w:hAnsi="Times New Roman"/>
          <w:sz w:val="24"/>
          <w:szCs w:val="24"/>
        </w:rPr>
        <w:t>,</w:t>
      </w:r>
      <w:r w:rsidR="00EE610D" w:rsidRPr="00304CF9">
        <w:rPr>
          <w:rFonts w:ascii="Times New Roman" w:hAnsi="Times New Roman"/>
          <w:sz w:val="24"/>
          <w:szCs w:val="24"/>
        </w:rPr>
        <w:t xml:space="preserve"> Inc</w:t>
      </w:r>
      <w:r w:rsidRPr="00304CF9">
        <w:rPr>
          <w:rFonts w:ascii="Times New Roman" w:hAnsi="Times New Roman"/>
          <w:sz w:val="24"/>
          <w:szCs w:val="24"/>
        </w:rPr>
        <w:t xml:space="preserve">., which is currently facing financial difficulty and it would be hard to raise the </w:t>
      </w:r>
      <w:r w:rsidR="1469CEC4" w:rsidRPr="00304CF9">
        <w:rPr>
          <w:rFonts w:ascii="Times New Roman" w:hAnsi="Times New Roman"/>
          <w:sz w:val="24"/>
          <w:szCs w:val="24"/>
        </w:rPr>
        <w:t>substantial filing and arbitration fees</w:t>
      </w:r>
      <w:r w:rsidRPr="00304CF9">
        <w:rPr>
          <w:rFonts w:ascii="Times New Roman" w:hAnsi="Times New Roman"/>
          <w:sz w:val="24"/>
          <w:szCs w:val="24"/>
        </w:rPr>
        <w:t>;</w:t>
      </w:r>
    </w:p>
    <w:p w14:paraId="4747604D" w14:textId="77777777" w:rsidR="00BF2EC4" w:rsidRPr="00304CF9" w:rsidRDefault="00BF2EC4"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Crimes</w:t>
      </w:r>
    </w:p>
    <w:p w14:paraId="5F647667" w14:textId="58BBC5D5" w:rsidR="00BF2EC4" w:rsidRPr="00304CF9" w:rsidRDefault="00BF2EC4"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In this case, there are pointed out instances of criminal activities like:</w:t>
      </w:r>
    </w:p>
    <w:p w14:paraId="5CD7BAE3" w14:textId="5B296DC1" w:rsidR="00BF2EC4" w:rsidRPr="00304CF9" w:rsidRDefault="00BF2EC4" w:rsidP="00304CF9">
      <w:pPr>
        <w:spacing w:line="480" w:lineRule="auto"/>
        <w:contextualSpacing/>
        <w:jc w:val="both"/>
        <w:rPr>
          <w:rFonts w:ascii="Times New Roman" w:hAnsi="Times New Roman"/>
          <w:b/>
          <w:sz w:val="24"/>
          <w:szCs w:val="24"/>
        </w:rPr>
      </w:pPr>
      <w:r w:rsidRPr="00304CF9">
        <w:rPr>
          <w:rFonts w:ascii="Times New Roman" w:hAnsi="Times New Roman"/>
          <w:b/>
          <w:sz w:val="24"/>
          <w:szCs w:val="24"/>
        </w:rPr>
        <w:t>Fraud</w:t>
      </w:r>
    </w:p>
    <w:p w14:paraId="157C2B81" w14:textId="18F75515" w:rsidR="00FB601F" w:rsidRPr="00304CF9" w:rsidRDefault="00BF2EC4" w:rsidP="00304CF9">
      <w:pPr>
        <w:spacing w:line="480" w:lineRule="auto"/>
        <w:contextualSpacing/>
        <w:jc w:val="both"/>
        <w:rPr>
          <w:rFonts w:ascii="Times New Roman" w:hAnsi="Times New Roman"/>
          <w:sz w:val="24"/>
          <w:szCs w:val="24"/>
        </w:rPr>
      </w:pPr>
      <w:r w:rsidRPr="00304CF9">
        <w:rPr>
          <w:rFonts w:ascii="Times New Roman" w:hAnsi="Times New Roman"/>
          <w:sz w:val="24"/>
          <w:szCs w:val="24"/>
        </w:rPr>
        <w:t xml:space="preserve">Fraud </w:t>
      </w:r>
      <w:r w:rsidR="00AE3160" w:rsidRPr="00304CF9">
        <w:rPr>
          <w:rFonts w:ascii="Times New Roman" w:hAnsi="Times New Roman"/>
          <w:sz w:val="24"/>
          <w:szCs w:val="24"/>
        </w:rPr>
        <w:t xml:space="preserve">refers to </w:t>
      </w:r>
      <w:hyperlink r:id="rId10" w:tooltip="Deception" w:history="1">
        <w:r w:rsidRPr="00304CF9">
          <w:rPr>
            <w:rStyle w:val="Hyperlink"/>
            <w:rFonts w:ascii="Times New Roman" w:hAnsi="Times New Roman"/>
            <w:color w:val="auto"/>
            <w:sz w:val="24"/>
            <w:szCs w:val="24"/>
            <w:u w:val="none"/>
          </w:rPr>
          <w:t>deception</w:t>
        </w:r>
      </w:hyperlink>
      <w:r w:rsidRPr="00304CF9">
        <w:rPr>
          <w:rFonts w:ascii="Times New Roman" w:hAnsi="Times New Roman"/>
          <w:sz w:val="24"/>
          <w:szCs w:val="24"/>
        </w:rPr>
        <w:t xml:space="preserve"> to acquire an </w:t>
      </w:r>
      <w:r w:rsidR="00AE3160" w:rsidRPr="00304CF9">
        <w:rPr>
          <w:rFonts w:ascii="Times New Roman" w:hAnsi="Times New Roman"/>
          <w:sz w:val="24"/>
          <w:szCs w:val="24"/>
        </w:rPr>
        <w:t>unlawful gain or</w:t>
      </w:r>
      <w:r w:rsidRPr="00304CF9">
        <w:rPr>
          <w:rFonts w:ascii="Times New Roman" w:hAnsi="Times New Roman"/>
          <w:sz w:val="24"/>
          <w:szCs w:val="24"/>
        </w:rPr>
        <w:t xml:space="preserve"> </w:t>
      </w:r>
      <w:r w:rsidR="00AE3160" w:rsidRPr="00304CF9">
        <w:rPr>
          <w:rFonts w:ascii="Times New Roman" w:hAnsi="Times New Roman"/>
          <w:sz w:val="24"/>
          <w:szCs w:val="24"/>
        </w:rPr>
        <w:t>benefit – mostly monetary – over an unsuspecting person</w:t>
      </w:r>
      <w:sdt>
        <w:sdtPr>
          <w:rPr>
            <w:rFonts w:ascii="Times New Roman" w:hAnsi="Times New Roman"/>
            <w:sz w:val="24"/>
            <w:szCs w:val="24"/>
          </w:rPr>
          <w:id w:val="-1190591532"/>
          <w:citation/>
        </w:sdtPr>
        <w:sdtContent>
          <w:r w:rsidR="003B621D" w:rsidRPr="00304CF9">
            <w:rPr>
              <w:rFonts w:ascii="Times New Roman" w:hAnsi="Times New Roman"/>
              <w:sz w:val="24"/>
              <w:szCs w:val="24"/>
            </w:rPr>
            <w:fldChar w:fldCharType="begin"/>
          </w:r>
          <w:r w:rsidR="003B621D" w:rsidRPr="00304CF9">
            <w:rPr>
              <w:rFonts w:ascii="Times New Roman" w:hAnsi="Times New Roman"/>
              <w:sz w:val="24"/>
              <w:szCs w:val="24"/>
            </w:rPr>
            <w:instrText xml:space="preserve"> CITATION Kyd17 \l 1033 </w:instrText>
          </w:r>
          <w:r w:rsidR="003B621D" w:rsidRPr="00304CF9">
            <w:rPr>
              <w:rFonts w:ascii="Times New Roman" w:hAnsi="Times New Roman"/>
              <w:sz w:val="24"/>
              <w:szCs w:val="24"/>
            </w:rPr>
            <w:fldChar w:fldCharType="separate"/>
          </w:r>
          <w:r w:rsidR="003B621D" w:rsidRPr="00304CF9">
            <w:rPr>
              <w:rFonts w:ascii="Times New Roman" w:hAnsi="Times New Roman"/>
              <w:noProof/>
              <w:sz w:val="24"/>
              <w:szCs w:val="24"/>
            </w:rPr>
            <w:t xml:space="preserve"> (Kyd, Elliott, &amp; Au, 2017)</w:t>
          </w:r>
          <w:r w:rsidR="003B621D" w:rsidRPr="00304CF9">
            <w:rPr>
              <w:rFonts w:ascii="Times New Roman" w:hAnsi="Times New Roman"/>
              <w:sz w:val="24"/>
              <w:szCs w:val="24"/>
            </w:rPr>
            <w:fldChar w:fldCharType="end"/>
          </w:r>
        </w:sdtContent>
      </w:sdt>
      <w:r w:rsidR="00FB601F" w:rsidRPr="00304CF9">
        <w:rPr>
          <w:rFonts w:ascii="Times New Roman" w:hAnsi="Times New Roman"/>
          <w:sz w:val="24"/>
          <w:szCs w:val="24"/>
        </w:rPr>
        <w:t xml:space="preserve">. </w:t>
      </w:r>
      <w:r w:rsidR="00AE3160" w:rsidRPr="00304CF9">
        <w:rPr>
          <w:rFonts w:ascii="Times New Roman" w:hAnsi="Times New Roman"/>
          <w:sz w:val="24"/>
          <w:szCs w:val="24"/>
        </w:rPr>
        <w:t>It could be criminal or civil in nature. In this case, the company was liable to charges of fraud for using cheap, sub-standard fertilizers, in order for it to make financial gain</w:t>
      </w:r>
      <w:sdt>
        <w:sdtPr>
          <w:rPr>
            <w:rFonts w:ascii="Times New Roman" w:hAnsi="Times New Roman"/>
            <w:sz w:val="24"/>
            <w:szCs w:val="24"/>
          </w:rPr>
          <w:id w:val="-1737853067"/>
          <w:citation/>
        </w:sdtPr>
        <w:sdtContent>
          <w:r w:rsidR="003B621D" w:rsidRPr="00304CF9">
            <w:rPr>
              <w:rFonts w:ascii="Times New Roman" w:hAnsi="Times New Roman"/>
              <w:sz w:val="24"/>
              <w:szCs w:val="24"/>
            </w:rPr>
            <w:fldChar w:fldCharType="begin"/>
          </w:r>
          <w:r w:rsidR="003B621D" w:rsidRPr="00304CF9">
            <w:rPr>
              <w:rFonts w:ascii="Times New Roman" w:hAnsi="Times New Roman"/>
              <w:sz w:val="24"/>
              <w:szCs w:val="24"/>
            </w:rPr>
            <w:instrText xml:space="preserve"> CITATION Act17 \l 1033 </w:instrText>
          </w:r>
          <w:r w:rsidR="003B621D" w:rsidRPr="00304CF9">
            <w:rPr>
              <w:rFonts w:ascii="Times New Roman" w:hAnsi="Times New Roman"/>
              <w:sz w:val="24"/>
              <w:szCs w:val="24"/>
            </w:rPr>
            <w:fldChar w:fldCharType="separate"/>
          </w:r>
          <w:r w:rsidR="003B621D" w:rsidRPr="00304CF9">
            <w:rPr>
              <w:rFonts w:ascii="Times New Roman" w:hAnsi="Times New Roman"/>
              <w:noProof/>
              <w:sz w:val="24"/>
              <w:szCs w:val="24"/>
            </w:rPr>
            <w:t xml:space="preserve"> (Action Fraud, 2017)</w:t>
          </w:r>
          <w:r w:rsidR="003B621D" w:rsidRPr="00304CF9">
            <w:rPr>
              <w:rFonts w:ascii="Times New Roman" w:hAnsi="Times New Roman"/>
              <w:sz w:val="24"/>
              <w:szCs w:val="24"/>
            </w:rPr>
            <w:fldChar w:fldCharType="end"/>
          </w:r>
        </w:sdtContent>
      </w:sdt>
      <w:r w:rsidR="00AE3160" w:rsidRPr="00304CF9">
        <w:rPr>
          <w:rFonts w:ascii="Times New Roman" w:hAnsi="Times New Roman"/>
          <w:sz w:val="24"/>
          <w:szCs w:val="24"/>
        </w:rPr>
        <w:t>. This was systematically perpetrated by company employees with sou</w:t>
      </w:r>
      <w:r w:rsidR="005B75CF" w:rsidRPr="00304CF9">
        <w:rPr>
          <w:rFonts w:ascii="Times New Roman" w:hAnsi="Times New Roman"/>
          <w:sz w:val="24"/>
          <w:szCs w:val="24"/>
        </w:rPr>
        <w:t>nd knowledge of such violations</w:t>
      </w:r>
      <w:r w:rsidR="00FB601F" w:rsidRPr="00304CF9">
        <w:rPr>
          <w:rFonts w:ascii="Times New Roman" w:hAnsi="Times New Roman"/>
          <w:color w:val="000000"/>
          <w:sz w:val="24"/>
          <w:szCs w:val="24"/>
          <w:shd w:val="clear" w:color="auto" w:fill="FFFFFF"/>
        </w:rPr>
        <w:t>.</w:t>
      </w:r>
    </w:p>
    <w:p w14:paraId="7CEF8151" w14:textId="77777777" w:rsidR="001A35C1" w:rsidRPr="00304CF9" w:rsidRDefault="001A35C1" w:rsidP="00485FCB">
      <w:pPr>
        <w:spacing w:line="480" w:lineRule="auto"/>
        <w:contextualSpacing/>
        <w:jc w:val="both"/>
        <w:rPr>
          <w:rFonts w:ascii="Times New Roman" w:hAnsi="Times New Roman"/>
          <w:b/>
          <w:sz w:val="24"/>
          <w:szCs w:val="24"/>
        </w:rPr>
      </w:pPr>
      <w:r w:rsidRPr="00304CF9">
        <w:rPr>
          <w:rFonts w:ascii="Times New Roman" w:hAnsi="Times New Roman"/>
          <w:b/>
          <w:sz w:val="24"/>
          <w:szCs w:val="24"/>
        </w:rPr>
        <w:t>Violations of State Laws</w:t>
      </w:r>
    </w:p>
    <w:p w14:paraId="2CC4FB54" w14:textId="3D5ED3E3" w:rsidR="00FB601F" w:rsidRDefault="00FB601F" w:rsidP="00485FCB">
      <w:pPr>
        <w:spacing w:line="480" w:lineRule="auto"/>
        <w:ind w:firstLine="720"/>
        <w:contextualSpacing/>
        <w:jc w:val="both"/>
        <w:rPr>
          <w:rFonts w:ascii="Times New Roman" w:hAnsi="Times New Roman"/>
          <w:b/>
          <w:sz w:val="24"/>
          <w:szCs w:val="24"/>
        </w:rPr>
      </w:pPr>
      <w:r w:rsidRPr="00304CF9">
        <w:rPr>
          <w:rFonts w:ascii="Times New Roman" w:hAnsi="Times New Roman"/>
          <w:sz w:val="24"/>
          <w:szCs w:val="24"/>
        </w:rPr>
        <w:t xml:space="preserve">Another crime which is indicated in the case is that, the issue was to be presented to the State of Florida since Chris, Matt, and Ian lived in California and their marketing was conducted in California. The case was to be presented at the State of California where Chris, Matt, and Ian lived and conducted the crime. This is because there are also judicial organizations in California. </w:t>
      </w:r>
    </w:p>
    <w:p w14:paraId="79F376D7" w14:textId="378EF84B" w:rsidR="00485FCB" w:rsidRPr="00485FCB" w:rsidRDefault="00485FCB" w:rsidP="00485FCB">
      <w:pPr>
        <w:spacing w:line="480" w:lineRule="auto"/>
        <w:contextualSpacing/>
        <w:jc w:val="both"/>
        <w:rPr>
          <w:rFonts w:ascii="Times New Roman" w:hAnsi="Times New Roman"/>
          <w:sz w:val="24"/>
          <w:szCs w:val="24"/>
        </w:rPr>
      </w:pPr>
      <w:r w:rsidRPr="00485FCB">
        <w:rPr>
          <w:rFonts w:ascii="Times New Roman" w:hAnsi="Times New Roman"/>
          <w:sz w:val="24"/>
          <w:szCs w:val="24"/>
        </w:rPr>
        <w:t>Ethical Process of Decision-making</w:t>
      </w:r>
    </w:p>
    <w:p w14:paraId="4DA0CE74" w14:textId="5148D98D" w:rsidR="00FB601F" w:rsidRPr="00304CF9" w:rsidRDefault="1469CEC4" w:rsidP="00304CF9">
      <w:pPr>
        <w:spacing w:line="480" w:lineRule="auto"/>
        <w:ind w:firstLine="720"/>
        <w:contextualSpacing/>
        <w:jc w:val="both"/>
        <w:rPr>
          <w:rFonts w:ascii="Times New Roman" w:hAnsi="Times New Roman"/>
          <w:sz w:val="24"/>
          <w:szCs w:val="24"/>
        </w:rPr>
      </w:pPr>
      <w:r w:rsidRPr="00304CF9">
        <w:rPr>
          <w:rFonts w:ascii="Times New Roman" w:hAnsi="Times New Roman"/>
          <w:sz w:val="24"/>
          <w:szCs w:val="24"/>
        </w:rPr>
        <w:lastRenderedPageBreak/>
        <w:t>The ethical process of decision making in</w:t>
      </w:r>
      <w:r w:rsidR="00485FCB">
        <w:rPr>
          <w:rFonts w:ascii="Times New Roman" w:hAnsi="Times New Roman"/>
          <w:sz w:val="24"/>
          <w:szCs w:val="24"/>
        </w:rPr>
        <w:t xml:space="preserve">volves three elements begins with </w:t>
      </w:r>
      <w:r w:rsidRPr="00304CF9">
        <w:rPr>
          <w:rFonts w:ascii="Times New Roman" w:hAnsi="Times New Roman"/>
          <w:sz w:val="24"/>
          <w:szCs w:val="24"/>
        </w:rPr>
        <w:t xml:space="preserve">identifying who will be affected by the decision. Second will be identifying what the purpose or reason is. The third element will be based on how to make the </w:t>
      </w:r>
      <w:r w:rsidR="001A35C1" w:rsidRPr="00304CF9">
        <w:rPr>
          <w:rFonts w:ascii="Times New Roman" w:hAnsi="Times New Roman"/>
          <w:sz w:val="24"/>
          <w:szCs w:val="24"/>
        </w:rPr>
        <w:t xml:space="preserve">decision. In this case, the decision would affect </w:t>
      </w:r>
      <w:r w:rsidRPr="00304CF9">
        <w:rPr>
          <w:rFonts w:ascii="Times New Roman" w:hAnsi="Times New Roman"/>
          <w:sz w:val="24"/>
          <w:szCs w:val="24"/>
        </w:rPr>
        <w:t xml:space="preserve">Mr. Margolin while Chris, Matt, and Ian will be affected by the result. The purpose or reason for the decision is to get justice for Mr. Margolin. </w:t>
      </w:r>
    </w:p>
    <w:p w14:paraId="4B99056E" w14:textId="77777777" w:rsidR="00FB601F" w:rsidRPr="00304CF9" w:rsidRDefault="00FB601F" w:rsidP="00304CF9">
      <w:pPr>
        <w:spacing w:line="480" w:lineRule="auto"/>
        <w:jc w:val="both"/>
        <w:rPr>
          <w:rFonts w:ascii="Times New Roman" w:hAnsi="Times New Roman"/>
          <w:sz w:val="24"/>
          <w:szCs w:val="24"/>
        </w:rPr>
      </w:pPr>
    </w:p>
    <w:p w14:paraId="1299C43A" w14:textId="77777777" w:rsidR="00FB601F" w:rsidRPr="00304CF9" w:rsidRDefault="00FB601F" w:rsidP="00304CF9">
      <w:pPr>
        <w:spacing w:line="480" w:lineRule="auto"/>
        <w:ind w:firstLine="720"/>
        <w:jc w:val="both"/>
        <w:rPr>
          <w:rFonts w:ascii="Times New Roman" w:hAnsi="Times New Roman"/>
          <w:sz w:val="24"/>
          <w:szCs w:val="24"/>
        </w:rPr>
      </w:pPr>
    </w:p>
    <w:p w14:paraId="4DDBEF00" w14:textId="77777777" w:rsidR="00FB601F" w:rsidRPr="00304CF9" w:rsidRDefault="00FB601F" w:rsidP="00304CF9">
      <w:pPr>
        <w:spacing w:line="480" w:lineRule="auto"/>
        <w:ind w:firstLine="720"/>
        <w:jc w:val="both"/>
        <w:rPr>
          <w:rFonts w:ascii="Times New Roman" w:hAnsi="Times New Roman"/>
          <w:sz w:val="24"/>
          <w:szCs w:val="24"/>
        </w:rPr>
      </w:pPr>
    </w:p>
    <w:p w14:paraId="3461D779" w14:textId="77777777" w:rsidR="00FB601F" w:rsidRPr="00304CF9" w:rsidRDefault="00FB601F" w:rsidP="00304CF9">
      <w:pPr>
        <w:spacing w:line="480" w:lineRule="auto"/>
        <w:jc w:val="both"/>
        <w:rPr>
          <w:rFonts w:ascii="Times New Roman" w:hAnsi="Times New Roman"/>
          <w:color w:val="000000"/>
          <w:sz w:val="24"/>
          <w:szCs w:val="24"/>
          <w:shd w:val="clear" w:color="auto" w:fill="FEFEFE"/>
        </w:rPr>
      </w:pPr>
    </w:p>
    <w:p w14:paraId="3CF2D8B6" w14:textId="77777777" w:rsidR="00FB601F" w:rsidRPr="00304CF9" w:rsidRDefault="00FB601F" w:rsidP="00304CF9">
      <w:pPr>
        <w:spacing w:line="480" w:lineRule="auto"/>
        <w:ind w:firstLine="720"/>
        <w:jc w:val="both"/>
        <w:rPr>
          <w:rFonts w:ascii="Times New Roman" w:hAnsi="Times New Roman"/>
          <w:color w:val="000000"/>
          <w:sz w:val="24"/>
          <w:szCs w:val="24"/>
          <w:shd w:val="clear" w:color="auto" w:fill="FEFEFE"/>
        </w:rPr>
      </w:pPr>
    </w:p>
    <w:p w14:paraId="0FB78278" w14:textId="77777777" w:rsidR="00FB601F" w:rsidRPr="00304CF9" w:rsidRDefault="00FB601F" w:rsidP="00304CF9">
      <w:pPr>
        <w:spacing w:after="0" w:line="480" w:lineRule="auto"/>
        <w:contextualSpacing/>
        <w:rPr>
          <w:rFonts w:ascii="Times New Roman" w:hAnsi="Times New Roman"/>
          <w:color w:val="000000"/>
          <w:sz w:val="24"/>
          <w:szCs w:val="24"/>
        </w:rPr>
      </w:pPr>
    </w:p>
    <w:p w14:paraId="1FC39945" w14:textId="77777777" w:rsidR="00FB601F" w:rsidRPr="00304CF9" w:rsidRDefault="00FB601F" w:rsidP="00304CF9">
      <w:pPr>
        <w:spacing w:after="0" w:line="480" w:lineRule="auto"/>
        <w:contextualSpacing/>
        <w:rPr>
          <w:rFonts w:ascii="Times New Roman" w:hAnsi="Times New Roman"/>
          <w:color w:val="000000"/>
          <w:sz w:val="24"/>
          <w:szCs w:val="24"/>
        </w:rPr>
      </w:pPr>
      <w:bookmarkStart w:id="0" w:name="_GoBack"/>
      <w:bookmarkEnd w:id="0"/>
    </w:p>
    <w:p w14:paraId="0562CB0E" w14:textId="77777777" w:rsidR="00FB601F" w:rsidRPr="00304CF9" w:rsidRDefault="00FB601F" w:rsidP="00304CF9">
      <w:pPr>
        <w:spacing w:after="0" w:line="480" w:lineRule="auto"/>
        <w:contextualSpacing/>
        <w:rPr>
          <w:rFonts w:ascii="Times New Roman" w:hAnsi="Times New Roman"/>
          <w:color w:val="000000"/>
          <w:sz w:val="24"/>
          <w:szCs w:val="24"/>
        </w:rPr>
      </w:pPr>
    </w:p>
    <w:p w14:paraId="34CE0A41" w14:textId="77777777" w:rsidR="00FB601F" w:rsidRPr="00304CF9" w:rsidRDefault="00FB601F" w:rsidP="00304CF9">
      <w:pPr>
        <w:spacing w:after="0" w:line="480" w:lineRule="auto"/>
        <w:contextualSpacing/>
        <w:rPr>
          <w:rFonts w:ascii="Times New Roman" w:hAnsi="Times New Roman"/>
          <w:color w:val="000000"/>
          <w:sz w:val="24"/>
          <w:szCs w:val="24"/>
        </w:rPr>
      </w:pPr>
    </w:p>
    <w:p w14:paraId="62EBF3C5" w14:textId="77777777" w:rsidR="00FB601F" w:rsidRPr="00304CF9" w:rsidRDefault="00FB601F" w:rsidP="00304CF9">
      <w:pPr>
        <w:spacing w:after="0" w:line="480" w:lineRule="auto"/>
        <w:contextualSpacing/>
        <w:rPr>
          <w:rFonts w:ascii="Times New Roman" w:hAnsi="Times New Roman"/>
          <w:color w:val="000000"/>
          <w:sz w:val="24"/>
          <w:szCs w:val="24"/>
        </w:rPr>
      </w:pPr>
    </w:p>
    <w:p w14:paraId="6D98A12B" w14:textId="77777777" w:rsidR="00FB601F" w:rsidRPr="00304CF9" w:rsidRDefault="00FB601F" w:rsidP="00304CF9">
      <w:pPr>
        <w:spacing w:after="0" w:line="480" w:lineRule="auto"/>
        <w:contextualSpacing/>
        <w:rPr>
          <w:rFonts w:ascii="Times New Roman" w:hAnsi="Times New Roman"/>
          <w:color w:val="000000"/>
          <w:sz w:val="24"/>
          <w:szCs w:val="24"/>
        </w:rPr>
      </w:pPr>
    </w:p>
    <w:p w14:paraId="2946DB82" w14:textId="77777777" w:rsidR="00FB601F" w:rsidRPr="00304CF9" w:rsidRDefault="00FB601F" w:rsidP="00304CF9">
      <w:pPr>
        <w:spacing w:after="0" w:line="480" w:lineRule="auto"/>
        <w:contextualSpacing/>
        <w:rPr>
          <w:rFonts w:ascii="Times New Roman" w:hAnsi="Times New Roman"/>
          <w:color w:val="000000"/>
          <w:sz w:val="24"/>
          <w:szCs w:val="24"/>
        </w:rPr>
      </w:pPr>
    </w:p>
    <w:p w14:paraId="5997CC1D" w14:textId="77777777" w:rsidR="00EE610D" w:rsidRPr="00304CF9" w:rsidRDefault="00EE610D" w:rsidP="00304CF9">
      <w:pPr>
        <w:spacing w:after="0" w:line="480" w:lineRule="auto"/>
        <w:contextualSpacing/>
        <w:jc w:val="center"/>
        <w:rPr>
          <w:rFonts w:ascii="Times New Roman" w:hAnsi="Times New Roman"/>
          <w:color w:val="000000"/>
          <w:sz w:val="24"/>
          <w:szCs w:val="24"/>
        </w:rPr>
      </w:pPr>
    </w:p>
    <w:p w14:paraId="110FFD37" w14:textId="77777777" w:rsidR="00EE610D" w:rsidRPr="00304CF9" w:rsidRDefault="00EE610D" w:rsidP="00304CF9">
      <w:pPr>
        <w:spacing w:after="0" w:line="480" w:lineRule="auto"/>
        <w:contextualSpacing/>
        <w:jc w:val="center"/>
        <w:rPr>
          <w:rFonts w:ascii="Times New Roman" w:hAnsi="Times New Roman"/>
          <w:color w:val="000000"/>
          <w:sz w:val="24"/>
          <w:szCs w:val="24"/>
        </w:rPr>
      </w:pPr>
    </w:p>
    <w:p w14:paraId="6B699379" w14:textId="77777777" w:rsidR="00EE610D" w:rsidRPr="00304CF9" w:rsidRDefault="00EE610D" w:rsidP="00304CF9">
      <w:pPr>
        <w:spacing w:after="0" w:line="480" w:lineRule="auto"/>
        <w:contextualSpacing/>
        <w:jc w:val="center"/>
        <w:rPr>
          <w:rFonts w:ascii="Times New Roman" w:hAnsi="Times New Roman"/>
          <w:color w:val="000000"/>
          <w:sz w:val="24"/>
          <w:szCs w:val="24"/>
        </w:rPr>
      </w:pPr>
    </w:p>
    <w:p w14:paraId="613DF979" w14:textId="198A0B20" w:rsidR="00FB601F" w:rsidRPr="00304CF9" w:rsidRDefault="00FB601F" w:rsidP="00304CF9">
      <w:pPr>
        <w:spacing w:after="0" w:line="480" w:lineRule="auto"/>
        <w:ind w:left="720" w:hanging="720"/>
        <w:contextualSpacing/>
        <w:rPr>
          <w:rFonts w:ascii="Times New Roman" w:hAnsi="Times New Roman"/>
          <w:color w:val="000000"/>
          <w:sz w:val="24"/>
          <w:szCs w:val="24"/>
        </w:rPr>
      </w:pPr>
    </w:p>
    <w:p w14:paraId="2F80C850" w14:textId="77777777" w:rsidR="00304CF9" w:rsidRPr="00304CF9" w:rsidRDefault="00304CF9" w:rsidP="00304CF9">
      <w:pPr>
        <w:spacing w:after="0" w:line="480" w:lineRule="auto"/>
        <w:ind w:left="720" w:hanging="720"/>
        <w:contextualSpacing/>
        <w:rPr>
          <w:rFonts w:ascii="Times New Roman" w:hAnsi="Times New Roman"/>
          <w:color w:val="000000"/>
          <w:sz w:val="24"/>
          <w:szCs w:val="24"/>
        </w:rPr>
      </w:pPr>
    </w:p>
    <w:sdt>
      <w:sdtPr>
        <w:rPr>
          <w:rFonts w:ascii="Times New Roman" w:hAnsi="Times New Roman" w:cs="Times New Roman"/>
          <w:sz w:val="24"/>
          <w:szCs w:val="24"/>
        </w:rPr>
        <w:id w:val="-806391810"/>
        <w:docPartObj>
          <w:docPartGallery w:val="Bibliographies"/>
          <w:docPartUnique/>
        </w:docPartObj>
      </w:sdtPr>
      <w:sdtEndPr>
        <w:rPr>
          <w:rFonts w:eastAsia="Calibri"/>
          <w:b w:val="0"/>
          <w:bCs w:val="0"/>
          <w:color w:val="auto"/>
          <w:lang w:eastAsia="en-US"/>
        </w:rPr>
      </w:sdtEndPr>
      <w:sdtContent>
        <w:p w14:paraId="55A2050E" w14:textId="6651A909" w:rsidR="00304CF9" w:rsidRPr="00304CF9" w:rsidRDefault="00304CF9" w:rsidP="00304CF9">
          <w:pPr>
            <w:pStyle w:val="Heading1"/>
            <w:spacing w:line="480" w:lineRule="auto"/>
            <w:jc w:val="center"/>
            <w:rPr>
              <w:rFonts w:ascii="Times New Roman" w:hAnsi="Times New Roman" w:cs="Times New Roman"/>
              <w:b w:val="0"/>
              <w:color w:val="auto"/>
              <w:sz w:val="24"/>
              <w:szCs w:val="24"/>
            </w:rPr>
          </w:pPr>
          <w:r w:rsidRPr="00304CF9">
            <w:rPr>
              <w:rFonts w:ascii="Times New Roman" w:hAnsi="Times New Roman" w:cs="Times New Roman"/>
              <w:b w:val="0"/>
              <w:color w:val="auto"/>
              <w:sz w:val="24"/>
              <w:szCs w:val="24"/>
            </w:rPr>
            <w:t>Reference</w:t>
          </w:r>
        </w:p>
        <w:p w14:paraId="3C10C8BC" w14:textId="7292B166" w:rsidR="00304CF9" w:rsidRPr="00304CF9" w:rsidRDefault="00304CF9" w:rsidP="00304CF9">
          <w:pPr>
            <w:pStyle w:val="Bibliography"/>
            <w:spacing w:line="480" w:lineRule="auto"/>
            <w:ind w:left="720" w:hanging="720"/>
            <w:rPr>
              <w:rFonts w:ascii="Times New Roman" w:hAnsi="Times New Roman"/>
              <w:noProof/>
              <w:sz w:val="24"/>
              <w:szCs w:val="24"/>
            </w:rPr>
          </w:pPr>
          <w:r w:rsidRPr="00304CF9">
            <w:rPr>
              <w:rFonts w:ascii="Times New Roman" w:hAnsi="Times New Roman"/>
              <w:noProof/>
              <w:sz w:val="24"/>
              <w:szCs w:val="24"/>
            </w:rPr>
            <w:t xml:space="preserve">Action Fraud. (2017). </w:t>
          </w:r>
          <w:r w:rsidRPr="00304CF9">
            <w:rPr>
              <w:rFonts w:ascii="Times New Roman" w:hAnsi="Times New Roman"/>
              <w:i/>
              <w:iCs/>
              <w:noProof/>
              <w:sz w:val="24"/>
              <w:szCs w:val="24"/>
            </w:rPr>
            <w:t>Types of fraud</w:t>
          </w:r>
          <w:r w:rsidRPr="00304CF9">
            <w:rPr>
              <w:rFonts w:ascii="Times New Roman" w:hAnsi="Times New Roman"/>
              <w:noProof/>
              <w:sz w:val="24"/>
              <w:szCs w:val="24"/>
            </w:rPr>
            <w:t>. Retrieved April 22, 2017, from Action Fraud: https://www.actionfraud.police.uk/types_of_fraud</w:t>
          </w:r>
        </w:p>
        <w:p w14:paraId="6AF19795" w14:textId="77777777" w:rsidR="00304CF9" w:rsidRPr="00304CF9" w:rsidRDefault="00304CF9" w:rsidP="00304CF9">
          <w:pPr>
            <w:pStyle w:val="Bibliography"/>
            <w:spacing w:line="480" w:lineRule="auto"/>
            <w:ind w:left="720" w:hanging="720"/>
            <w:rPr>
              <w:rFonts w:ascii="Times New Roman" w:hAnsi="Times New Roman"/>
              <w:noProof/>
              <w:sz w:val="24"/>
              <w:szCs w:val="24"/>
            </w:rPr>
          </w:pPr>
          <w:r w:rsidRPr="00304CF9">
            <w:rPr>
              <w:rFonts w:ascii="Times New Roman" w:hAnsi="Times New Roman"/>
              <w:noProof/>
              <w:sz w:val="24"/>
              <w:szCs w:val="24"/>
            </w:rPr>
            <w:t xml:space="preserve">Aragaki, H. N. (2017, December). </w:t>
          </w:r>
          <w:r w:rsidRPr="00304CF9">
            <w:rPr>
              <w:rFonts w:ascii="Times New Roman" w:hAnsi="Times New Roman"/>
              <w:i/>
              <w:iCs/>
              <w:noProof/>
              <w:sz w:val="24"/>
              <w:szCs w:val="24"/>
            </w:rPr>
            <w:t>The Federal Arbitration Act as Procedural Reform</w:t>
          </w:r>
          <w:r w:rsidRPr="00304CF9">
            <w:rPr>
              <w:rFonts w:ascii="Times New Roman" w:hAnsi="Times New Roman"/>
              <w:noProof/>
              <w:sz w:val="24"/>
              <w:szCs w:val="24"/>
            </w:rPr>
            <w:t>. Retrieved April 22, 2018, from NNY Law Review: http://www.nyulawreview.org/issues/volume-89-number-6/federal-arbitration-act-procedural-reform</w:t>
          </w:r>
        </w:p>
        <w:p w14:paraId="51510D50" w14:textId="77777777" w:rsidR="00304CF9" w:rsidRPr="00304CF9" w:rsidRDefault="00304CF9" w:rsidP="00304CF9">
          <w:pPr>
            <w:pStyle w:val="Bibliography"/>
            <w:spacing w:line="480" w:lineRule="auto"/>
            <w:ind w:left="720" w:hanging="720"/>
            <w:rPr>
              <w:rFonts w:ascii="Times New Roman" w:hAnsi="Times New Roman"/>
              <w:noProof/>
              <w:sz w:val="24"/>
              <w:szCs w:val="24"/>
            </w:rPr>
          </w:pPr>
          <w:r w:rsidRPr="00304CF9">
            <w:rPr>
              <w:rFonts w:ascii="Times New Roman" w:hAnsi="Times New Roman"/>
              <w:noProof/>
              <w:sz w:val="24"/>
              <w:szCs w:val="24"/>
            </w:rPr>
            <w:t xml:space="preserve">Cornell Law School. (2018). </w:t>
          </w:r>
          <w:r w:rsidRPr="00304CF9">
            <w:rPr>
              <w:rFonts w:ascii="Times New Roman" w:hAnsi="Times New Roman"/>
              <w:i/>
              <w:iCs/>
              <w:noProof/>
              <w:sz w:val="24"/>
              <w:szCs w:val="24"/>
            </w:rPr>
            <w:t>Jurisdiction</w:t>
          </w:r>
          <w:r w:rsidRPr="00304CF9">
            <w:rPr>
              <w:rFonts w:ascii="Times New Roman" w:hAnsi="Times New Roman"/>
              <w:noProof/>
              <w:sz w:val="24"/>
              <w:szCs w:val="24"/>
            </w:rPr>
            <w:t>. Retrieved April 22, 2018, from Legal Information Institute: https://www.law.cornell.edu/wex/jurisdiction</w:t>
          </w:r>
        </w:p>
        <w:p w14:paraId="2D789C57" w14:textId="77777777" w:rsidR="00304CF9" w:rsidRPr="00304CF9" w:rsidRDefault="00304CF9" w:rsidP="00304CF9">
          <w:pPr>
            <w:pStyle w:val="Bibliography"/>
            <w:spacing w:line="480" w:lineRule="auto"/>
            <w:ind w:left="720" w:hanging="720"/>
            <w:rPr>
              <w:rFonts w:ascii="Times New Roman" w:hAnsi="Times New Roman"/>
              <w:noProof/>
              <w:sz w:val="24"/>
              <w:szCs w:val="24"/>
            </w:rPr>
          </w:pPr>
          <w:r w:rsidRPr="00304CF9">
            <w:rPr>
              <w:rFonts w:ascii="Times New Roman" w:hAnsi="Times New Roman"/>
              <w:noProof/>
              <w:sz w:val="24"/>
              <w:szCs w:val="24"/>
            </w:rPr>
            <w:t xml:space="preserve">FindLaw. (2018). </w:t>
          </w:r>
          <w:r w:rsidRPr="00304CF9">
            <w:rPr>
              <w:rFonts w:ascii="Times New Roman" w:hAnsi="Times New Roman"/>
              <w:i/>
              <w:iCs/>
              <w:noProof/>
              <w:sz w:val="24"/>
              <w:szCs w:val="24"/>
            </w:rPr>
            <w:t>Personal Jurisdiction: How to Determine Where a Person Can Be Sued</w:t>
          </w:r>
          <w:r w:rsidRPr="00304CF9">
            <w:rPr>
              <w:rFonts w:ascii="Times New Roman" w:hAnsi="Times New Roman"/>
              <w:noProof/>
              <w:sz w:val="24"/>
              <w:szCs w:val="24"/>
            </w:rPr>
            <w:t>. Retrieved April 22, 2018, from FindLaw: https://litigation.findlaw.com/filing-a-lawsuit/personal-jurisdiction-how-to-determine-where-a-person-can-be.html</w:t>
          </w:r>
        </w:p>
        <w:p w14:paraId="07128D20" w14:textId="77777777" w:rsidR="00304CF9" w:rsidRPr="00304CF9" w:rsidRDefault="00304CF9" w:rsidP="00304CF9">
          <w:pPr>
            <w:pStyle w:val="Bibliography"/>
            <w:spacing w:line="480" w:lineRule="auto"/>
            <w:ind w:left="720" w:hanging="720"/>
            <w:rPr>
              <w:rFonts w:ascii="Times New Roman" w:hAnsi="Times New Roman"/>
              <w:noProof/>
              <w:sz w:val="24"/>
              <w:szCs w:val="24"/>
            </w:rPr>
          </w:pPr>
          <w:r w:rsidRPr="00304CF9">
            <w:rPr>
              <w:rFonts w:ascii="Times New Roman" w:hAnsi="Times New Roman"/>
              <w:noProof/>
              <w:sz w:val="24"/>
              <w:szCs w:val="24"/>
            </w:rPr>
            <w:t xml:space="preserve">Kyd, P. S., Elliott, D., &amp; Au, D. (2017). </w:t>
          </w:r>
          <w:r w:rsidRPr="00304CF9">
            <w:rPr>
              <w:rFonts w:ascii="Times New Roman" w:hAnsi="Times New Roman"/>
              <w:i/>
              <w:iCs/>
              <w:noProof/>
              <w:sz w:val="24"/>
              <w:szCs w:val="24"/>
            </w:rPr>
            <w:t>Clarkson &amp; Keating: Criminal Law: Text and Materials.</w:t>
          </w:r>
          <w:r w:rsidRPr="00304CF9">
            <w:rPr>
              <w:rFonts w:ascii="Times New Roman" w:hAnsi="Times New Roman"/>
              <w:noProof/>
              <w:sz w:val="24"/>
              <w:szCs w:val="24"/>
            </w:rPr>
            <w:t xml:space="preserve"> New York.</w:t>
          </w:r>
        </w:p>
        <w:p w14:paraId="6DBCBE18" w14:textId="77777777" w:rsidR="00304CF9" w:rsidRPr="00304CF9" w:rsidRDefault="00304CF9" w:rsidP="00304CF9">
          <w:pPr>
            <w:pStyle w:val="Bibliography"/>
            <w:spacing w:line="480" w:lineRule="auto"/>
            <w:ind w:left="720" w:hanging="720"/>
            <w:rPr>
              <w:rFonts w:ascii="Times New Roman" w:hAnsi="Times New Roman"/>
              <w:noProof/>
              <w:sz w:val="24"/>
              <w:szCs w:val="24"/>
            </w:rPr>
          </w:pPr>
          <w:r w:rsidRPr="00304CF9">
            <w:rPr>
              <w:rFonts w:ascii="Times New Roman" w:hAnsi="Times New Roman"/>
              <w:noProof/>
              <w:sz w:val="24"/>
              <w:szCs w:val="24"/>
            </w:rPr>
            <w:t xml:space="preserve">Mullenix, L. S. (2017, April 14). </w:t>
          </w:r>
          <w:r w:rsidRPr="00304CF9">
            <w:rPr>
              <w:rFonts w:ascii="Times New Roman" w:hAnsi="Times New Roman"/>
              <w:i/>
              <w:iCs/>
              <w:noProof/>
              <w:sz w:val="24"/>
              <w:szCs w:val="24"/>
            </w:rPr>
            <w:t>Stirring the Jurisdictional Stew: Will California's' Sliding Scale'Approach to Specific Personal Jurisdiction Withstand Due Process Scrutiny?.</w:t>
          </w:r>
          <w:r w:rsidRPr="00304CF9">
            <w:rPr>
              <w:rFonts w:ascii="Times New Roman" w:hAnsi="Times New Roman"/>
              <w:noProof/>
              <w:sz w:val="24"/>
              <w:szCs w:val="24"/>
            </w:rPr>
            <w:t xml:space="preserve"> Retrieved April 22, 2018, from SSRN.</w:t>
          </w:r>
        </w:p>
        <w:p w14:paraId="43A8D216" w14:textId="2959BC1F" w:rsidR="00304CF9" w:rsidRPr="00304CF9" w:rsidRDefault="00304CF9" w:rsidP="00304CF9">
          <w:pPr>
            <w:spacing w:line="480" w:lineRule="auto"/>
            <w:rPr>
              <w:rFonts w:ascii="Times New Roman" w:hAnsi="Times New Roman"/>
              <w:sz w:val="24"/>
              <w:szCs w:val="24"/>
            </w:rPr>
          </w:pPr>
        </w:p>
      </w:sdtContent>
    </w:sdt>
    <w:p w14:paraId="7A9165B9" w14:textId="77777777" w:rsidR="00304CF9" w:rsidRPr="00304CF9" w:rsidRDefault="00304CF9" w:rsidP="00304CF9">
      <w:pPr>
        <w:spacing w:after="0" w:line="480" w:lineRule="auto"/>
        <w:ind w:left="720" w:hanging="720"/>
        <w:contextualSpacing/>
        <w:rPr>
          <w:rFonts w:ascii="Times New Roman" w:hAnsi="Times New Roman"/>
          <w:color w:val="000000"/>
          <w:sz w:val="24"/>
          <w:szCs w:val="24"/>
        </w:rPr>
      </w:pPr>
    </w:p>
    <w:sectPr w:rsidR="00304CF9" w:rsidRPr="00304CF9" w:rsidSect="00BB6B0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FB635" w14:textId="77777777" w:rsidR="00D15738" w:rsidRDefault="00D15738" w:rsidP="00BB6B0B">
      <w:pPr>
        <w:spacing w:after="0" w:line="240" w:lineRule="auto"/>
      </w:pPr>
      <w:r>
        <w:separator/>
      </w:r>
    </w:p>
  </w:endnote>
  <w:endnote w:type="continuationSeparator" w:id="0">
    <w:p w14:paraId="0D4AC1BE" w14:textId="77777777" w:rsidR="00D15738" w:rsidRDefault="00D15738" w:rsidP="00BB6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游ゴシック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游明朝">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56E32" w14:textId="77777777" w:rsidR="00D15738" w:rsidRDefault="00D15738" w:rsidP="00BB6B0B">
      <w:pPr>
        <w:spacing w:after="0" w:line="240" w:lineRule="auto"/>
      </w:pPr>
      <w:r>
        <w:separator/>
      </w:r>
    </w:p>
  </w:footnote>
  <w:footnote w:type="continuationSeparator" w:id="0">
    <w:p w14:paraId="771F9BCC" w14:textId="77777777" w:rsidR="00D15738" w:rsidRDefault="00D15738" w:rsidP="00BB6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D6903" w14:textId="77777777" w:rsidR="00304CF9" w:rsidRDefault="00304CF9" w:rsidP="00304CF9">
    <w:pPr>
      <w:pStyle w:val="Header"/>
      <w:spacing w:line="480" w:lineRule="auto"/>
      <w:rPr>
        <w:rFonts w:ascii="Times New Roman" w:hAnsi="Times New Roman"/>
        <w:sz w:val="24"/>
        <w:szCs w:val="24"/>
      </w:rPr>
    </w:pPr>
  </w:p>
  <w:p w14:paraId="2C2573F2" w14:textId="41B65CA5" w:rsidR="00BB6B0B" w:rsidRPr="00BB6B0B" w:rsidRDefault="00304CF9" w:rsidP="00304CF9">
    <w:pPr>
      <w:pStyle w:val="Header"/>
      <w:spacing w:line="480" w:lineRule="auto"/>
      <w:rPr>
        <w:rFonts w:ascii="Times New Roman" w:hAnsi="Times New Roman"/>
        <w:sz w:val="24"/>
        <w:szCs w:val="24"/>
      </w:rPr>
    </w:pPr>
    <w:r w:rsidRPr="00304CF9">
      <w:rPr>
        <w:rFonts w:ascii="Times New Roman" w:hAnsi="Times New Roman"/>
        <w:sz w:val="24"/>
        <w:szCs w:val="24"/>
      </w:rPr>
      <w:t>BUSINESS</w:t>
    </w:r>
    <w:r w:rsidR="00FB601F" w:rsidRPr="00304CF9">
      <w:rPr>
        <w:rFonts w:ascii="Times New Roman" w:hAnsi="Times New Roman"/>
        <w:sz w:val="24"/>
        <w:szCs w:val="24"/>
      </w:rPr>
      <w:t xml:space="preserve"> LAW</w:t>
    </w:r>
    <w:r w:rsidR="00DD280B" w:rsidRPr="00304CF9">
      <w:rPr>
        <w:rFonts w:ascii="Times New Roman" w:hAnsi="Times New Roman"/>
        <w:sz w:val="24"/>
        <w:szCs w:val="24"/>
      </w:rPr>
      <w:t xml:space="preserve">               </w:t>
    </w:r>
    <w:r w:rsidR="00BB6B0B" w:rsidRPr="00304CF9">
      <w:rPr>
        <w:rFonts w:ascii="Times New Roman" w:hAnsi="Times New Roman"/>
        <w:sz w:val="24"/>
        <w:szCs w:val="24"/>
      </w:rPr>
      <w:t xml:space="preserve">                                               </w:t>
    </w:r>
    <w:r w:rsidR="00E77B7B" w:rsidRPr="00304CF9">
      <w:rPr>
        <w:rFonts w:ascii="Times New Roman" w:hAnsi="Times New Roman"/>
        <w:sz w:val="24"/>
        <w:szCs w:val="24"/>
      </w:rPr>
      <w:t xml:space="preserve">                                                             </w:t>
    </w:r>
    <w:r w:rsidR="00BB6B0B" w:rsidRPr="00BB6B0B">
      <w:rPr>
        <w:rFonts w:ascii="Times New Roman" w:hAnsi="Times New Roman"/>
        <w:sz w:val="24"/>
        <w:szCs w:val="24"/>
      </w:rPr>
      <w:fldChar w:fldCharType="begin"/>
    </w:r>
    <w:r w:rsidR="00BB6B0B" w:rsidRPr="00BB6B0B">
      <w:rPr>
        <w:rFonts w:ascii="Times New Roman" w:hAnsi="Times New Roman"/>
        <w:sz w:val="24"/>
        <w:szCs w:val="24"/>
      </w:rPr>
      <w:instrText xml:space="preserve"> PAGE   \* MERGEFORMAT </w:instrText>
    </w:r>
    <w:r w:rsidR="00BB6B0B" w:rsidRPr="00BB6B0B">
      <w:rPr>
        <w:rFonts w:ascii="Times New Roman" w:hAnsi="Times New Roman"/>
        <w:sz w:val="24"/>
        <w:szCs w:val="24"/>
      </w:rPr>
      <w:fldChar w:fldCharType="separate"/>
    </w:r>
    <w:r w:rsidR="00485FCB">
      <w:rPr>
        <w:rFonts w:ascii="Times New Roman" w:hAnsi="Times New Roman"/>
        <w:noProof/>
        <w:sz w:val="24"/>
        <w:szCs w:val="24"/>
      </w:rPr>
      <w:t>6</w:t>
    </w:r>
    <w:r w:rsidR="00BB6B0B" w:rsidRPr="00BB6B0B">
      <w:rPr>
        <w:rFonts w:ascii="Times New Roman" w:hAnsi="Times New Roman"/>
        <w:noProof/>
        <w:sz w:val="24"/>
        <w:szCs w:val="24"/>
      </w:rPr>
      <w:fldChar w:fldCharType="end"/>
    </w:r>
    <w:r w:rsidR="00BB6B0B">
      <w:rPr>
        <w:rFonts w:ascii="Times New Roman" w:hAnsi="Times New Roman"/>
        <w:noProof/>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51D03" w14:textId="1B720FA1" w:rsidR="00BB6B0B" w:rsidRPr="00BB6B0B" w:rsidRDefault="00BB6B0B" w:rsidP="00E77B7B">
    <w:pPr>
      <w:pStyle w:val="Header"/>
      <w:rPr>
        <w:rFonts w:ascii="Times New Roman" w:hAnsi="Times New Roman"/>
        <w:sz w:val="24"/>
        <w:szCs w:val="24"/>
      </w:rPr>
    </w:pPr>
    <w:r w:rsidRPr="00BB6B0B">
      <w:rPr>
        <w:rFonts w:ascii="Times New Roman" w:hAnsi="Times New Roman"/>
        <w:sz w:val="24"/>
        <w:szCs w:val="24"/>
      </w:rPr>
      <w:t>Running head:</w:t>
    </w:r>
    <w:r w:rsidR="00304CF9">
      <w:rPr>
        <w:rFonts w:ascii="Times New Roman" w:hAnsi="Times New Roman"/>
        <w:sz w:val="24"/>
        <w:szCs w:val="24"/>
      </w:rPr>
      <w:t xml:space="preserve"> BUSINESS</w:t>
    </w:r>
    <w:r w:rsidR="00FB601F">
      <w:rPr>
        <w:rFonts w:ascii="Times New Roman" w:hAnsi="Times New Roman"/>
        <w:sz w:val="24"/>
        <w:szCs w:val="24"/>
      </w:rPr>
      <w:t xml:space="preserve"> LAW</w:t>
    </w:r>
    <w:r w:rsidR="00DD280B">
      <w:rPr>
        <w:rFonts w:ascii="Times New Roman" w:hAnsi="Times New Roman"/>
        <w:sz w:val="24"/>
        <w:szCs w:val="24"/>
      </w:rPr>
      <w:tab/>
    </w:r>
    <w:r w:rsidR="00DD280B">
      <w:rPr>
        <w:rFonts w:ascii="Times New Roman" w:hAnsi="Times New Roman"/>
        <w:sz w:val="24"/>
        <w:szCs w:val="24"/>
      </w:rPr>
      <w:tab/>
    </w:r>
    <w:r>
      <w:rPr>
        <w:rFonts w:ascii="Times New Roman" w:hAnsi="Times New Roman"/>
        <w:sz w:val="24"/>
        <w:szCs w:val="24"/>
      </w:rPr>
      <w:t xml:space="preserve">                                                     </w:t>
    </w:r>
    <w:r w:rsidR="00E77B7B">
      <w:rPr>
        <w:rFonts w:ascii="Times New Roman" w:hAnsi="Times New Roman"/>
        <w:sz w:val="24"/>
        <w:szCs w:val="24"/>
      </w:rPr>
      <w:t xml:space="preserve">                              </w:t>
    </w:r>
    <w:r w:rsidRPr="00BB6B0B">
      <w:rPr>
        <w:rFonts w:ascii="Times New Roman" w:hAnsi="Times New Roman"/>
        <w:sz w:val="24"/>
        <w:szCs w:val="24"/>
      </w:rPr>
      <w:fldChar w:fldCharType="begin"/>
    </w:r>
    <w:r w:rsidRPr="00BB6B0B">
      <w:rPr>
        <w:rFonts w:ascii="Times New Roman" w:hAnsi="Times New Roman"/>
        <w:sz w:val="24"/>
        <w:szCs w:val="24"/>
      </w:rPr>
      <w:instrText xml:space="preserve"> PAGE   \* MERGEFORMAT </w:instrText>
    </w:r>
    <w:r w:rsidRPr="00BB6B0B">
      <w:rPr>
        <w:rFonts w:ascii="Times New Roman" w:hAnsi="Times New Roman"/>
        <w:sz w:val="24"/>
        <w:szCs w:val="24"/>
      </w:rPr>
      <w:fldChar w:fldCharType="separate"/>
    </w:r>
    <w:r w:rsidR="00304CF9">
      <w:rPr>
        <w:rFonts w:ascii="Times New Roman" w:hAnsi="Times New Roman"/>
        <w:noProof/>
        <w:sz w:val="24"/>
        <w:szCs w:val="24"/>
      </w:rPr>
      <w:t>1</w:t>
    </w:r>
    <w:r w:rsidRPr="00BB6B0B">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D1026"/>
    <w:multiLevelType w:val="hybridMultilevel"/>
    <w:tmpl w:val="587C1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791472"/>
    <w:multiLevelType w:val="hybridMultilevel"/>
    <w:tmpl w:val="365A93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2C2"/>
    <w:rsid w:val="00052F93"/>
    <w:rsid w:val="00107FDD"/>
    <w:rsid w:val="00180E5A"/>
    <w:rsid w:val="001A35C1"/>
    <w:rsid w:val="00304CF9"/>
    <w:rsid w:val="00327241"/>
    <w:rsid w:val="00352C29"/>
    <w:rsid w:val="003B621D"/>
    <w:rsid w:val="003B7802"/>
    <w:rsid w:val="003C4E0E"/>
    <w:rsid w:val="0046011B"/>
    <w:rsid w:val="00485FCB"/>
    <w:rsid w:val="004B2479"/>
    <w:rsid w:val="004E222D"/>
    <w:rsid w:val="00556709"/>
    <w:rsid w:val="00582745"/>
    <w:rsid w:val="005B75CF"/>
    <w:rsid w:val="005D05C2"/>
    <w:rsid w:val="0060626E"/>
    <w:rsid w:val="006F725A"/>
    <w:rsid w:val="0074329D"/>
    <w:rsid w:val="00752F82"/>
    <w:rsid w:val="008B52C2"/>
    <w:rsid w:val="0092573A"/>
    <w:rsid w:val="0092660B"/>
    <w:rsid w:val="009723ED"/>
    <w:rsid w:val="0098536C"/>
    <w:rsid w:val="00AB7973"/>
    <w:rsid w:val="00AE3160"/>
    <w:rsid w:val="00AF572F"/>
    <w:rsid w:val="00B02146"/>
    <w:rsid w:val="00B33F96"/>
    <w:rsid w:val="00BB6B0B"/>
    <w:rsid w:val="00BF2EC4"/>
    <w:rsid w:val="00C703BD"/>
    <w:rsid w:val="00C740DC"/>
    <w:rsid w:val="00C7735C"/>
    <w:rsid w:val="00CD3BE7"/>
    <w:rsid w:val="00D14DAF"/>
    <w:rsid w:val="00D15738"/>
    <w:rsid w:val="00D664B8"/>
    <w:rsid w:val="00D903F9"/>
    <w:rsid w:val="00DD280B"/>
    <w:rsid w:val="00DE465D"/>
    <w:rsid w:val="00DE5E20"/>
    <w:rsid w:val="00E0675D"/>
    <w:rsid w:val="00E47E55"/>
    <w:rsid w:val="00E62AEC"/>
    <w:rsid w:val="00E77B7B"/>
    <w:rsid w:val="00ED3AC4"/>
    <w:rsid w:val="00ED437B"/>
    <w:rsid w:val="00EE610D"/>
    <w:rsid w:val="00F06D6B"/>
    <w:rsid w:val="00F1511F"/>
    <w:rsid w:val="00F216A8"/>
    <w:rsid w:val="00F41E67"/>
    <w:rsid w:val="00F56EBA"/>
    <w:rsid w:val="00FB601F"/>
    <w:rsid w:val="00FD773F"/>
    <w:rsid w:val="1469CE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E6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304CF9"/>
    <w:pPr>
      <w:keepNext/>
      <w:keepLines/>
      <w:spacing w:before="480" w:after="0"/>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573A"/>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BB6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B0B"/>
  </w:style>
  <w:style w:type="paragraph" w:styleId="Footer">
    <w:name w:val="footer"/>
    <w:basedOn w:val="Normal"/>
    <w:link w:val="FooterChar"/>
    <w:uiPriority w:val="99"/>
    <w:unhideWhenUsed/>
    <w:rsid w:val="00BB6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B0B"/>
  </w:style>
  <w:style w:type="character" w:customStyle="1" w:styleId="apple-converted-space">
    <w:name w:val="apple-converted-space"/>
    <w:rsid w:val="00C703BD"/>
  </w:style>
  <w:style w:type="character" w:styleId="Hyperlink">
    <w:name w:val="Hyperlink"/>
    <w:basedOn w:val="DefaultParagraphFont"/>
    <w:uiPriority w:val="99"/>
    <w:unhideWhenUsed/>
    <w:rsid w:val="003C4E0E"/>
    <w:rPr>
      <w:color w:val="0000FF"/>
      <w:u w:val="single"/>
    </w:rPr>
  </w:style>
  <w:style w:type="paragraph" w:styleId="BalloonText">
    <w:name w:val="Balloon Text"/>
    <w:basedOn w:val="Normal"/>
    <w:link w:val="BalloonTextChar"/>
    <w:uiPriority w:val="99"/>
    <w:semiHidden/>
    <w:unhideWhenUsed/>
    <w:rsid w:val="009723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3ED"/>
    <w:rPr>
      <w:rFonts w:ascii="Tahoma" w:hAnsi="Tahoma" w:cs="Tahoma"/>
      <w:sz w:val="16"/>
      <w:szCs w:val="16"/>
      <w:lang w:eastAsia="en-US"/>
    </w:rPr>
  </w:style>
  <w:style w:type="paragraph" w:styleId="ListParagraph">
    <w:name w:val="List Paragraph"/>
    <w:basedOn w:val="Normal"/>
    <w:uiPriority w:val="34"/>
    <w:qFormat/>
    <w:rsid w:val="00B02146"/>
    <w:pPr>
      <w:ind w:left="720"/>
      <w:contextualSpacing/>
    </w:pPr>
  </w:style>
  <w:style w:type="character" w:customStyle="1" w:styleId="Heading1Char">
    <w:name w:val="Heading 1 Char"/>
    <w:basedOn w:val="DefaultParagraphFont"/>
    <w:link w:val="Heading1"/>
    <w:uiPriority w:val="9"/>
    <w:rsid w:val="00304CF9"/>
    <w:rPr>
      <w:rFonts w:asciiTheme="majorHAnsi" w:eastAsiaTheme="majorEastAsia" w:hAnsiTheme="majorHAnsi" w:cstheme="majorBidi"/>
      <w:b/>
      <w:bCs/>
      <w:color w:val="2F5496" w:themeColor="accent1" w:themeShade="BF"/>
      <w:sz w:val="28"/>
      <w:szCs w:val="28"/>
    </w:rPr>
  </w:style>
  <w:style w:type="paragraph" w:styleId="Bibliography">
    <w:name w:val="Bibliography"/>
    <w:basedOn w:val="Normal"/>
    <w:next w:val="Normal"/>
    <w:uiPriority w:val="37"/>
    <w:unhideWhenUsed/>
    <w:rsid w:val="00304C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304CF9"/>
    <w:pPr>
      <w:keepNext/>
      <w:keepLines/>
      <w:spacing w:before="480" w:after="0"/>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573A"/>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BB6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B0B"/>
  </w:style>
  <w:style w:type="paragraph" w:styleId="Footer">
    <w:name w:val="footer"/>
    <w:basedOn w:val="Normal"/>
    <w:link w:val="FooterChar"/>
    <w:uiPriority w:val="99"/>
    <w:unhideWhenUsed/>
    <w:rsid w:val="00BB6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B0B"/>
  </w:style>
  <w:style w:type="character" w:customStyle="1" w:styleId="apple-converted-space">
    <w:name w:val="apple-converted-space"/>
    <w:rsid w:val="00C703BD"/>
  </w:style>
  <w:style w:type="character" w:styleId="Hyperlink">
    <w:name w:val="Hyperlink"/>
    <w:basedOn w:val="DefaultParagraphFont"/>
    <w:uiPriority w:val="99"/>
    <w:unhideWhenUsed/>
    <w:rsid w:val="003C4E0E"/>
    <w:rPr>
      <w:color w:val="0000FF"/>
      <w:u w:val="single"/>
    </w:rPr>
  </w:style>
  <w:style w:type="paragraph" w:styleId="BalloonText">
    <w:name w:val="Balloon Text"/>
    <w:basedOn w:val="Normal"/>
    <w:link w:val="BalloonTextChar"/>
    <w:uiPriority w:val="99"/>
    <w:semiHidden/>
    <w:unhideWhenUsed/>
    <w:rsid w:val="009723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3ED"/>
    <w:rPr>
      <w:rFonts w:ascii="Tahoma" w:hAnsi="Tahoma" w:cs="Tahoma"/>
      <w:sz w:val="16"/>
      <w:szCs w:val="16"/>
      <w:lang w:eastAsia="en-US"/>
    </w:rPr>
  </w:style>
  <w:style w:type="paragraph" w:styleId="ListParagraph">
    <w:name w:val="List Paragraph"/>
    <w:basedOn w:val="Normal"/>
    <w:uiPriority w:val="34"/>
    <w:qFormat/>
    <w:rsid w:val="00B02146"/>
    <w:pPr>
      <w:ind w:left="720"/>
      <w:contextualSpacing/>
    </w:pPr>
  </w:style>
  <w:style w:type="character" w:customStyle="1" w:styleId="Heading1Char">
    <w:name w:val="Heading 1 Char"/>
    <w:basedOn w:val="DefaultParagraphFont"/>
    <w:link w:val="Heading1"/>
    <w:uiPriority w:val="9"/>
    <w:rsid w:val="00304CF9"/>
    <w:rPr>
      <w:rFonts w:asciiTheme="majorHAnsi" w:eastAsiaTheme="majorEastAsia" w:hAnsiTheme="majorHAnsi" w:cstheme="majorBidi"/>
      <w:b/>
      <w:bCs/>
      <w:color w:val="2F5496" w:themeColor="accent1" w:themeShade="BF"/>
      <w:sz w:val="28"/>
      <w:szCs w:val="28"/>
    </w:rPr>
  </w:style>
  <w:style w:type="paragraph" w:styleId="Bibliography">
    <w:name w:val="Bibliography"/>
    <w:basedOn w:val="Normal"/>
    <w:next w:val="Normal"/>
    <w:uiPriority w:val="37"/>
    <w:unhideWhenUsed/>
    <w:rsid w:val="00304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155244">
      <w:bodyDiv w:val="1"/>
      <w:marLeft w:val="0"/>
      <w:marRight w:val="0"/>
      <w:marTop w:val="0"/>
      <w:marBottom w:val="0"/>
      <w:divBdr>
        <w:top w:val="none" w:sz="0" w:space="0" w:color="auto"/>
        <w:left w:val="none" w:sz="0" w:space="0" w:color="auto"/>
        <w:bottom w:val="none" w:sz="0" w:space="0" w:color="auto"/>
        <w:right w:val="none" w:sz="0" w:space="0" w:color="auto"/>
      </w:divBdr>
      <w:divsChild>
        <w:div w:id="8527295">
          <w:marLeft w:val="0"/>
          <w:marRight w:val="0"/>
          <w:marTop w:val="0"/>
          <w:marBottom w:val="0"/>
          <w:divBdr>
            <w:top w:val="none" w:sz="0" w:space="0" w:color="auto"/>
            <w:left w:val="none" w:sz="0" w:space="0" w:color="auto"/>
            <w:bottom w:val="none" w:sz="0" w:space="0" w:color="auto"/>
            <w:right w:val="none" w:sz="0" w:space="0" w:color="auto"/>
          </w:divBdr>
        </w:div>
      </w:divsChild>
    </w:div>
    <w:div w:id="1493376902">
      <w:bodyDiv w:val="1"/>
      <w:marLeft w:val="0"/>
      <w:marRight w:val="0"/>
      <w:marTop w:val="0"/>
      <w:marBottom w:val="0"/>
      <w:divBdr>
        <w:top w:val="none" w:sz="0" w:space="0" w:color="auto"/>
        <w:left w:val="none" w:sz="0" w:space="0" w:color="auto"/>
        <w:bottom w:val="none" w:sz="0" w:space="0" w:color="auto"/>
        <w:right w:val="none" w:sz="0" w:space="0" w:color="auto"/>
      </w:divBdr>
      <w:divsChild>
        <w:div w:id="1916740015">
          <w:marLeft w:val="0"/>
          <w:marRight w:val="0"/>
          <w:marTop w:val="0"/>
          <w:marBottom w:val="0"/>
          <w:divBdr>
            <w:top w:val="none" w:sz="0" w:space="0" w:color="auto"/>
            <w:left w:val="none" w:sz="0" w:space="0" w:color="auto"/>
            <w:bottom w:val="none" w:sz="0" w:space="0" w:color="auto"/>
            <w:right w:val="none" w:sz="0" w:space="0" w:color="auto"/>
          </w:divBdr>
        </w:div>
      </w:divsChild>
    </w:div>
    <w:div w:id="205391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en.wikipedia.org/wiki/Deception" TargetMode="External"/><Relationship Id="rId4" Type="http://schemas.microsoft.com/office/2007/relationships/stylesWithEffects" Target="stylesWithEffects.xml"/><Relationship Id="rId9" Type="http://schemas.openxmlformats.org/officeDocument/2006/relationships/hyperlink" Target="https://en.wikipedia.org/wiki/Litig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InternetSite</b:SourceType>
    <b:Guid>{1E84A53B-5FAB-430B-B34E-090F2DCF6620}</b:Guid>
    <b:Title>Jurisdiction</b:Title>
    <b:Year>2018</b:Year>
    <b:Author>
      <b:Author>
        <b:Corporate>Cornell Law School</b:Corporate>
      </b:Author>
    </b:Author>
    <b:InternetSiteTitle>Legal Information Institute</b:InternetSiteTitle>
    <b:YearAccessed>2018</b:YearAccessed>
    <b:MonthAccessed>April</b:MonthAccessed>
    <b:DayAccessed>22</b:DayAccessed>
    <b:URL>https://www.law.cornell.edu/wex/jurisdiction</b:URL>
    <b:RefOrder>1</b:RefOrder>
  </b:Source>
  <b:Source>
    <b:Tag>Fin18</b:Tag>
    <b:SourceType>InternetSite</b:SourceType>
    <b:Guid>{23E6A060-DF12-4F74-A12F-8E6EDC8FD62A}</b:Guid>
    <b:Author>
      <b:Author>
        <b:Corporate>FindLaw</b:Corporate>
      </b:Author>
    </b:Author>
    <b:Title>Personal Jurisdiction: How to Determine Where a Person Can Be Sued</b:Title>
    <b:InternetSiteTitle>FindLaw</b:InternetSiteTitle>
    <b:Year>2018</b:Year>
    <b:YearAccessed>2018</b:YearAccessed>
    <b:MonthAccessed>April</b:MonthAccessed>
    <b:DayAccessed>22</b:DayAccessed>
    <b:URL>https://litigation.findlaw.com/filing-a-lawsuit/personal-jurisdiction-how-to-determine-where-a-person-can-be.html</b:URL>
    <b:RefOrder>2</b:RefOrder>
  </b:Source>
  <b:Source>
    <b:Tag>Lin17</b:Tag>
    <b:SourceType>DocumentFromInternetSite</b:SourceType>
    <b:Guid>{09FE6FC6-98D8-4E5A-8419-4D601AF4298D}</b:Guid>
    <b:Title>Stirring the Jurisdictional Stew: Will California's' Sliding Scale'Approach to Specific Personal Jurisdiction Withstand Due Process Scrutiny?.</b:Title>
    <b:Year>2017</b:Year>
    <b:Author>
      <b:Author>
        <b:NameList>
          <b:Person>
            <b:Last>Mullenix</b:Last>
            <b:First>Linda</b:First>
            <b:Middle>S.</b:Middle>
          </b:Person>
        </b:NameList>
      </b:Author>
    </b:Author>
    <b:InternetSiteTitle>SSRN</b:InternetSiteTitle>
    <b:Month>April</b:Month>
    <b:Day>14</b:Day>
    <b:YearAccessed>2018</b:YearAccessed>
    <b:MonthAccessed>April</b:MonthAccessed>
    <b:DayAccessed>22</b:DayAccessed>
    <b:RefOrder>3</b:RefOrder>
  </b:Source>
  <b:Source>
    <b:Tag>Hir17</b:Tag>
    <b:SourceType>InternetSite</b:SourceType>
    <b:Guid>{B6C58055-1FC9-4B71-9D30-96D8D3DF2422}</b:Guid>
    <b:Title>The Federal Arbitration Act as Procedural Reform</b:Title>
    <b:InternetSiteTitle>NNY Law Review</b:InternetSiteTitle>
    <b:Year>2017</b:Year>
    <b:Month>December</b:Month>
    <b:YearAccessed>2018</b:YearAccessed>
    <b:MonthAccessed>April</b:MonthAccessed>
    <b:DayAccessed>22</b:DayAccessed>
    <b:URL>http://www.nyulawreview.org/issues/volume-89-number-6/federal-arbitration-act-procedural-reform</b:URL>
    <b:Author>
      <b:Author>
        <b:NameList>
          <b:Person>
            <b:Last>Aragaki</b:Last>
            <b:First>Hiro</b:First>
            <b:Middle>N.</b:Middle>
          </b:Person>
        </b:NameList>
      </b:Author>
    </b:Author>
    <b:RefOrder>4</b:RefOrder>
  </b:Source>
  <b:Source>
    <b:Tag>Kyd17</b:Tag>
    <b:SourceType>Book</b:SourceType>
    <b:Guid>{25311CF7-516B-407D-940F-5CCCC824DEC3}</b:Guid>
    <b:Title>Clarkson &amp; Keating: Criminal Law: Text and Materials</b:Title>
    <b:Year>2017</b:Year>
    <b:Author>
      <b:Author>
        <b:NameList>
          <b:Person>
            <b:Last>Kyd</b:Last>
            <b:First>Professor</b:First>
            <b:Middle>Sally</b:Middle>
          </b:Person>
          <b:Person>
            <b:Last> Elliott</b:Last>
            <b:First>Dr Tracey</b:First>
          </b:Person>
          <b:Person>
            <b:Last>Au</b:Last>
            <b:First>Dr Mark</b:First>
          </b:Person>
        </b:NameList>
      </b:Author>
    </b:Author>
    <b:City>New York</b:City>
    <b:RefOrder>5</b:RefOrder>
  </b:Source>
  <b:Source>
    <b:Tag>Act17</b:Tag>
    <b:SourceType>InternetSite</b:SourceType>
    <b:Guid>{E9320DD5-6E01-4283-A5F8-FC97BEC30464}</b:Guid>
    <b:Title>Types of fraud</b:Title>
    <b:Year>2017</b:Year>
    <b:Author>
      <b:Author>
        <b:Corporate>Action Fraud</b:Corporate>
      </b:Author>
    </b:Author>
    <b:InternetSiteTitle>Action Fraud</b:InternetSiteTitle>
    <b:YearAccessed>2017</b:YearAccessed>
    <b:MonthAccessed>April</b:MonthAccessed>
    <b:DayAccessed>22</b:DayAccessed>
    <b:URL>https://www.actionfraud.police.uk/types_of_fraud</b:URL>
    <b:RefOrder>6</b:RefOrder>
  </b:Source>
</b:Sources>
</file>

<file path=customXml/itemProps1.xml><?xml version="1.0" encoding="utf-8"?>
<ds:datastoreItem xmlns:ds="http://schemas.openxmlformats.org/officeDocument/2006/customXml" ds:itemID="{7A17FCFE-A9E0-417B-B32D-BCDA4D022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2018-04-22T09:10:00Z</dcterms:created>
  <dcterms:modified xsi:type="dcterms:W3CDTF">2018-04-22T09:10:00Z</dcterms:modified>
</cp:coreProperties>
</file>