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852A38" w:rsidP="006429B6">
      <w:pPr>
        <w:spacing w:after="0" w:line="480" w:lineRule="auto"/>
        <w:contextualSpacing/>
        <w:jc w:val="center"/>
        <w:rPr>
          <w:rFonts w:ascii="Times New Roman" w:hAnsi="Times New Roman" w:cs="Times New Roman"/>
          <w:sz w:val="24"/>
          <w:szCs w:val="24"/>
        </w:rPr>
      </w:pPr>
      <w:r w:rsidRPr="006429B6">
        <w:rPr>
          <w:rFonts w:ascii="Times New Roman" w:hAnsi="Times New Roman" w:cs="Times New Roman"/>
          <w:sz w:val="24"/>
          <w:szCs w:val="24"/>
        </w:rPr>
        <w:t>Murder Case</w:t>
      </w:r>
    </w:p>
    <w:p w:rsidR="0017666D" w:rsidRPr="006429B6" w:rsidRDefault="00852A38" w:rsidP="006429B6">
      <w:pPr>
        <w:spacing w:after="0" w:line="480" w:lineRule="auto"/>
        <w:contextualSpacing/>
        <w:jc w:val="center"/>
        <w:rPr>
          <w:rFonts w:ascii="Times New Roman" w:hAnsi="Times New Roman" w:cs="Times New Roman"/>
          <w:sz w:val="24"/>
          <w:szCs w:val="24"/>
        </w:rPr>
      </w:pPr>
      <w:r w:rsidRPr="006429B6">
        <w:rPr>
          <w:rFonts w:ascii="Times New Roman" w:hAnsi="Times New Roman" w:cs="Times New Roman"/>
          <w:sz w:val="24"/>
          <w:szCs w:val="24"/>
        </w:rPr>
        <w:t>Author Name(s)</w:t>
      </w:r>
    </w:p>
    <w:p w:rsidR="0017666D" w:rsidRPr="006429B6" w:rsidRDefault="00852A38" w:rsidP="006429B6">
      <w:pPr>
        <w:spacing w:after="0" w:line="480" w:lineRule="auto"/>
        <w:contextualSpacing/>
        <w:jc w:val="center"/>
        <w:rPr>
          <w:rFonts w:ascii="Times New Roman" w:hAnsi="Times New Roman" w:cs="Times New Roman"/>
          <w:sz w:val="24"/>
          <w:szCs w:val="24"/>
        </w:rPr>
      </w:pPr>
      <w:r w:rsidRPr="006429B6">
        <w:rPr>
          <w:rFonts w:ascii="Times New Roman" w:hAnsi="Times New Roman" w:cs="Times New Roman"/>
          <w:sz w:val="24"/>
          <w:szCs w:val="24"/>
        </w:rPr>
        <w:t>Institutional Affiliation</w:t>
      </w: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6429B6" w:rsidRDefault="006429B6">
      <w:pPr>
        <w:rPr>
          <w:rFonts w:ascii="Times New Roman" w:hAnsi="Times New Roman" w:cs="Times New Roman"/>
          <w:sz w:val="24"/>
          <w:szCs w:val="24"/>
        </w:rPr>
      </w:pPr>
      <w:r>
        <w:rPr>
          <w:rFonts w:ascii="Times New Roman" w:hAnsi="Times New Roman" w:cs="Times New Roman"/>
          <w:sz w:val="24"/>
          <w:szCs w:val="24"/>
        </w:rPr>
        <w:br w:type="page"/>
      </w:r>
    </w:p>
    <w:p w:rsidR="006429B6" w:rsidRPr="006429B6" w:rsidRDefault="006429B6" w:rsidP="006429B6">
      <w:pPr>
        <w:spacing w:after="0" w:line="480" w:lineRule="auto"/>
        <w:contextualSpacing/>
        <w:jc w:val="center"/>
        <w:rPr>
          <w:rFonts w:ascii="Times New Roman" w:hAnsi="Times New Roman" w:cs="Times New Roman"/>
          <w:sz w:val="24"/>
          <w:szCs w:val="24"/>
        </w:rPr>
      </w:pPr>
      <w:r w:rsidRPr="006429B6">
        <w:rPr>
          <w:rFonts w:ascii="Times New Roman" w:hAnsi="Times New Roman" w:cs="Times New Roman"/>
          <w:sz w:val="24"/>
          <w:szCs w:val="24"/>
        </w:rPr>
        <w:lastRenderedPageBreak/>
        <w:t>Murder Case</w:t>
      </w:r>
    </w:p>
    <w:p w:rsidR="0017666D" w:rsidRPr="006429B6" w:rsidRDefault="00852A38" w:rsidP="006429B6">
      <w:pPr>
        <w:spacing w:after="0" w:line="480" w:lineRule="auto"/>
        <w:contextualSpacing/>
        <w:rPr>
          <w:rFonts w:ascii="Times New Roman" w:hAnsi="Times New Roman" w:cs="Times New Roman"/>
          <w:b/>
          <w:bCs/>
          <w:sz w:val="24"/>
          <w:szCs w:val="24"/>
        </w:rPr>
      </w:pPr>
      <w:r w:rsidRPr="006429B6">
        <w:rPr>
          <w:rFonts w:ascii="Times New Roman" w:hAnsi="Times New Roman" w:cs="Times New Roman"/>
          <w:b/>
          <w:bCs/>
          <w:sz w:val="24"/>
          <w:szCs w:val="24"/>
        </w:rPr>
        <w:t>Introduction</w:t>
      </w:r>
    </w:p>
    <w:p w:rsidR="0017666D" w:rsidRPr="006429B6" w:rsidRDefault="00852A38" w:rsidP="006429B6">
      <w:pPr>
        <w:spacing w:after="0" w:line="480" w:lineRule="auto"/>
        <w:ind w:firstLine="720"/>
        <w:contextualSpacing/>
        <w:rPr>
          <w:rFonts w:ascii="Times New Roman" w:hAnsi="Times New Roman" w:cs="Times New Roman"/>
          <w:sz w:val="24"/>
          <w:szCs w:val="24"/>
        </w:rPr>
      </w:pPr>
      <w:r w:rsidRPr="006429B6">
        <w:rPr>
          <w:rFonts w:ascii="Times New Roman" w:hAnsi="Times New Roman" w:cs="Times New Roman"/>
          <w:sz w:val="24"/>
          <w:szCs w:val="24"/>
        </w:rPr>
        <w:t>In this paper, we shall look into the case of one Tyree Johnson, a twenty-five-year-old who was charged of murder. Mr. Johnson is being accused of</w:t>
      </w:r>
      <w:r w:rsidRPr="006429B6">
        <w:rPr>
          <w:rFonts w:ascii="Times New Roman" w:hAnsi="Times New Roman" w:cs="Times New Roman"/>
          <w:sz w:val="24"/>
          <w:szCs w:val="24"/>
        </w:rPr>
        <w:t xml:space="preserve"> first-degree murder for the death of Beth Ann Brooks, his former girlfriend. He is believed to have infected Ms. Brooks with HIV/AIDS, thereby resulting to her death. In the state of where the case is held, it is a federal offense to engage in sexual inti</w:t>
      </w:r>
      <w:r w:rsidRPr="006429B6">
        <w:rPr>
          <w:rFonts w:ascii="Times New Roman" w:hAnsi="Times New Roman" w:cs="Times New Roman"/>
          <w:sz w:val="24"/>
          <w:szCs w:val="24"/>
        </w:rPr>
        <w:t>macy with an individual without making it known to them that you are HIV-Positive. It is believed that Tyree Johnson slept with Ms. Brooks and withdrew from telling her that he was actually HIV-Positive. The death of Ms. Brooks is directly linked to her in</w:t>
      </w:r>
      <w:r w:rsidRPr="006429B6">
        <w:rPr>
          <w:rFonts w:ascii="Times New Roman" w:hAnsi="Times New Roman" w:cs="Times New Roman"/>
          <w:sz w:val="24"/>
          <w:szCs w:val="24"/>
        </w:rPr>
        <w:t>fection with HIV/AIDS thereby making him guilty of first-degree murder. There are three elements that classify murder into first-degree. These include will, deliberation and premeditation. On the aspect of will, the death of an individual needs to hold cle</w:t>
      </w:r>
      <w:r w:rsidRPr="006429B6">
        <w:rPr>
          <w:rFonts w:ascii="Times New Roman" w:hAnsi="Times New Roman" w:cs="Times New Roman"/>
          <w:sz w:val="24"/>
          <w:szCs w:val="24"/>
        </w:rPr>
        <w:t xml:space="preserve">ar proof that </w:t>
      </w:r>
      <w:r w:rsidRPr="006429B6">
        <w:rPr>
          <w:rFonts w:ascii="Times New Roman" w:hAnsi="Times New Roman" w:cs="Times New Roman"/>
          <w:sz w:val="24"/>
          <w:szCs w:val="24"/>
        </w:rPr>
        <w:t>links</w:t>
      </w:r>
      <w:r w:rsidRPr="006429B6">
        <w:rPr>
          <w:rFonts w:ascii="Times New Roman" w:hAnsi="Times New Roman" w:cs="Times New Roman"/>
          <w:sz w:val="24"/>
          <w:szCs w:val="24"/>
        </w:rPr>
        <w:t xml:space="preserve"> the committer with intentions of ending the life of another person. The elements of deliberation and premeditation can be grouped into one. These concepts mean that there is no need for a person to have an earlier plan that details his/</w:t>
      </w:r>
      <w:r w:rsidRPr="006429B6">
        <w:rPr>
          <w:rFonts w:ascii="Times New Roman" w:hAnsi="Times New Roman" w:cs="Times New Roman"/>
          <w:sz w:val="24"/>
          <w:szCs w:val="24"/>
        </w:rPr>
        <w:t>her intentions of ending the life of another person. First-degree murder does not entail deliberation and action happening at the same time. There should be an initial premeditation, no matter how brief or short it was.</w:t>
      </w:r>
    </w:p>
    <w:p w:rsidR="0017666D" w:rsidRPr="006429B6" w:rsidRDefault="00852A38" w:rsidP="006429B6">
      <w:pPr>
        <w:spacing w:after="0" w:line="480" w:lineRule="auto"/>
        <w:contextualSpacing/>
        <w:rPr>
          <w:rFonts w:ascii="Times New Roman" w:hAnsi="Times New Roman" w:cs="Times New Roman"/>
          <w:b/>
          <w:bCs/>
          <w:sz w:val="24"/>
          <w:szCs w:val="24"/>
        </w:rPr>
      </w:pPr>
      <w:r w:rsidRPr="006429B6">
        <w:rPr>
          <w:rFonts w:ascii="Times New Roman" w:hAnsi="Times New Roman" w:cs="Times New Roman"/>
          <w:b/>
          <w:bCs/>
          <w:sz w:val="24"/>
          <w:szCs w:val="24"/>
        </w:rPr>
        <w:t>Defence of the Accused</w:t>
      </w:r>
    </w:p>
    <w:p w:rsidR="0017666D" w:rsidRPr="006429B6" w:rsidRDefault="00852A38" w:rsidP="006429B6">
      <w:pPr>
        <w:spacing w:after="0" w:line="480" w:lineRule="auto"/>
        <w:ind w:firstLine="720"/>
        <w:contextualSpacing/>
        <w:rPr>
          <w:rFonts w:ascii="Times New Roman" w:hAnsi="Times New Roman" w:cs="Times New Roman"/>
          <w:sz w:val="24"/>
          <w:szCs w:val="24"/>
        </w:rPr>
      </w:pPr>
      <w:r w:rsidRPr="006429B6">
        <w:rPr>
          <w:rFonts w:ascii="Times New Roman" w:hAnsi="Times New Roman" w:cs="Times New Roman"/>
          <w:sz w:val="24"/>
          <w:szCs w:val="24"/>
        </w:rPr>
        <w:t xml:space="preserve">The district </w:t>
      </w:r>
      <w:r w:rsidRPr="006429B6">
        <w:rPr>
          <w:rFonts w:ascii="Times New Roman" w:hAnsi="Times New Roman" w:cs="Times New Roman"/>
          <w:sz w:val="24"/>
          <w:szCs w:val="24"/>
        </w:rPr>
        <w:t xml:space="preserve">attorney prosecuting the defendant is seeking justice for the death of Ms. Brooks since he believes that the Mr. Johnson acted with all intentions of killing. Tyree Johnson, however, claims that all the tests that were used to diagnose him were completely </w:t>
      </w:r>
      <w:r w:rsidRPr="006429B6">
        <w:rPr>
          <w:rFonts w:ascii="Times New Roman" w:hAnsi="Times New Roman" w:cs="Times New Roman"/>
          <w:sz w:val="24"/>
          <w:szCs w:val="24"/>
        </w:rPr>
        <w:t>ineffective. It is also scientifically proven that many of these tests normally give out false positives</w:t>
      </w:r>
      <w:r w:rsidRPr="006429B6">
        <w:rPr>
          <w:rFonts w:ascii="Times New Roman" w:hAnsi="Times New Roman" w:cs="Times New Roman"/>
          <w:sz w:val="24"/>
          <w:szCs w:val="24"/>
        </w:rPr>
        <w:t xml:space="preserve"> </w:t>
      </w:r>
      <w:r w:rsidRPr="006429B6">
        <w:rPr>
          <w:rFonts w:ascii="Times New Roman" w:hAnsi="Times New Roman" w:cs="Times New Roman"/>
          <w:sz w:val="24"/>
          <w:szCs w:val="24"/>
        </w:rPr>
        <w:t>(</w:t>
      </w:r>
      <w:r w:rsidRPr="006429B6">
        <w:rPr>
          <w:rFonts w:ascii="Times New Roman" w:hAnsi="Times New Roman" w:cs="Times New Roman"/>
          <w:sz w:val="24"/>
          <w:szCs w:val="24"/>
        </w:rPr>
        <w:t>Hayes, 2</w:t>
      </w:r>
      <w:r w:rsidRPr="006429B6">
        <w:rPr>
          <w:rFonts w:ascii="Times New Roman" w:hAnsi="Times New Roman" w:cs="Times New Roman"/>
          <w:sz w:val="24"/>
          <w:szCs w:val="24"/>
        </w:rPr>
        <w:t>018)</w:t>
      </w:r>
      <w:r w:rsidRPr="006429B6">
        <w:rPr>
          <w:rFonts w:ascii="Times New Roman" w:hAnsi="Times New Roman" w:cs="Times New Roman"/>
          <w:sz w:val="24"/>
          <w:szCs w:val="24"/>
        </w:rPr>
        <w:t>. The</w:t>
      </w:r>
      <w:r w:rsidRPr="006429B6">
        <w:rPr>
          <w:rFonts w:ascii="Times New Roman" w:hAnsi="Times New Roman" w:cs="Times New Roman"/>
          <w:sz w:val="24"/>
          <w:szCs w:val="24"/>
        </w:rPr>
        <w:t xml:space="preserve"> defendants’ team state that there is lack of proof to indicate that Mr. Johnson was HIV-Positive during the time when they were dati</w:t>
      </w:r>
      <w:r w:rsidRPr="006429B6">
        <w:rPr>
          <w:rFonts w:ascii="Times New Roman" w:hAnsi="Times New Roman" w:cs="Times New Roman"/>
          <w:sz w:val="24"/>
          <w:szCs w:val="24"/>
        </w:rPr>
        <w:t>ng with Ms. Brooks. Tyree Johnson is an African-American, in order for the court to avoid possible counts of racism, it resorted to include members from all races in its jury. These included five white women, four white men, four black women and three blac</w:t>
      </w:r>
      <w:r w:rsidRPr="006429B6">
        <w:rPr>
          <w:rFonts w:ascii="Times New Roman" w:hAnsi="Times New Roman" w:cs="Times New Roman"/>
          <w:sz w:val="24"/>
          <w:szCs w:val="24"/>
        </w:rPr>
        <w:t>k men. In the opening statements of the court, the district attorney, Richard Armand, introduces himself to the jury and the judge and outlines all the charges he is placing on the defendant. He identifies the nature of the crime and assures that in accord</w:t>
      </w:r>
      <w:r w:rsidRPr="006429B6">
        <w:rPr>
          <w:rFonts w:ascii="Times New Roman" w:hAnsi="Times New Roman" w:cs="Times New Roman"/>
          <w:sz w:val="24"/>
          <w:szCs w:val="24"/>
        </w:rPr>
        <w:t xml:space="preserve">ance to the state laws which granted that a failure to inform one’s partner of being infected with HIV is similar to committing murder. Mr. Armand goes ahead to link the crimes committed by the accused as to that of taking a gun and shooting a person. The </w:t>
      </w:r>
      <w:r w:rsidRPr="006429B6">
        <w:rPr>
          <w:rFonts w:ascii="Times New Roman" w:hAnsi="Times New Roman" w:cs="Times New Roman"/>
          <w:sz w:val="24"/>
          <w:szCs w:val="24"/>
        </w:rPr>
        <w:t>only difference that existed was in the weapon whereby instead of a gun, the accused is believed to have used the virus of HIV to commit the murder.</w:t>
      </w:r>
    </w:p>
    <w:p w:rsidR="0017666D" w:rsidRPr="006429B6" w:rsidRDefault="00852A38" w:rsidP="006429B6">
      <w:pPr>
        <w:spacing w:after="0" w:line="480" w:lineRule="auto"/>
        <w:ind w:firstLine="720"/>
        <w:contextualSpacing/>
        <w:rPr>
          <w:rFonts w:ascii="Times New Roman" w:hAnsi="Times New Roman" w:cs="Times New Roman"/>
          <w:sz w:val="24"/>
          <w:szCs w:val="24"/>
        </w:rPr>
      </w:pPr>
      <w:r w:rsidRPr="006429B6">
        <w:rPr>
          <w:rFonts w:ascii="Times New Roman" w:hAnsi="Times New Roman" w:cs="Times New Roman"/>
          <w:sz w:val="24"/>
          <w:szCs w:val="24"/>
        </w:rPr>
        <w:t>The defendant’s attorney, Bernard Campbell, began his opening statements with an advice to the jury. He inf</w:t>
      </w:r>
      <w:r w:rsidRPr="006429B6">
        <w:rPr>
          <w:rFonts w:ascii="Times New Roman" w:hAnsi="Times New Roman" w:cs="Times New Roman"/>
          <w:sz w:val="24"/>
          <w:szCs w:val="24"/>
        </w:rPr>
        <w:t>ormed them that they should avoid giving a verdict through the flow of their emotions. Mr. Campbell rendered the defendant innocent until proven guilty. Proving him guilty implied that the prosecutor would need identify the motive, opportunity as well as m</w:t>
      </w:r>
      <w:r w:rsidRPr="006429B6">
        <w:rPr>
          <w:rFonts w:ascii="Times New Roman" w:hAnsi="Times New Roman" w:cs="Times New Roman"/>
          <w:sz w:val="24"/>
          <w:szCs w:val="24"/>
        </w:rPr>
        <w:t>ethod used clearly. To clear out the presence of motive, the attorney stated that Ms. Brooks had agreed to engage in sexual intimacy at her own will. No one had actually forced her into having an affair with Mr. Johnson and there is no proof that would ind</w:t>
      </w:r>
      <w:r w:rsidRPr="006429B6">
        <w:rPr>
          <w:rFonts w:ascii="Times New Roman" w:hAnsi="Times New Roman" w:cs="Times New Roman"/>
          <w:sz w:val="24"/>
          <w:szCs w:val="24"/>
        </w:rPr>
        <w:t xml:space="preserve">icate the presence of animosity in the relationship. This state thereby rules out the possibility of the accused wanting to harm his late girlfriend. On the aspect of opportunity, the engagement of the couple into sexual intimacy creates room for a lot of </w:t>
      </w:r>
      <w:r w:rsidRPr="006429B6">
        <w:rPr>
          <w:rFonts w:ascii="Times New Roman" w:hAnsi="Times New Roman" w:cs="Times New Roman"/>
          <w:sz w:val="24"/>
          <w:szCs w:val="24"/>
        </w:rPr>
        <w:t>possibilities and opportunities. It is nearly impossible to outline the exact opportunity of infection. Mr. Campbell makes it clear to the jury and the court that the method of killing is the main focus of the trial. He points out that contrary to the effo</w:t>
      </w:r>
      <w:r w:rsidRPr="006429B6">
        <w:rPr>
          <w:rFonts w:ascii="Times New Roman" w:hAnsi="Times New Roman" w:cs="Times New Roman"/>
          <w:sz w:val="24"/>
          <w:szCs w:val="24"/>
        </w:rPr>
        <w:t>rts being made by Mr. Armand, the defendant did not actually hold a gun and shoot his lover, neither did he stab her using a knife, nor did he tie her up and rape her. It is evident that Mr. Johnson engaged in sexual intimacy with his lover at her agreemen</w:t>
      </w:r>
      <w:r w:rsidRPr="006429B6">
        <w:rPr>
          <w:rFonts w:ascii="Times New Roman" w:hAnsi="Times New Roman" w:cs="Times New Roman"/>
          <w:sz w:val="24"/>
          <w:szCs w:val="24"/>
        </w:rPr>
        <w:t>t.</w:t>
      </w:r>
    </w:p>
    <w:p w:rsidR="0017666D" w:rsidRPr="006429B6" w:rsidRDefault="00852A38" w:rsidP="006429B6">
      <w:pPr>
        <w:spacing w:after="0" w:line="480" w:lineRule="auto"/>
        <w:contextualSpacing/>
        <w:rPr>
          <w:rFonts w:ascii="Times New Roman" w:hAnsi="Times New Roman" w:cs="Times New Roman"/>
          <w:b/>
          <w:bCs/>
          <w:sz w:val="24"/>
          <w:szCs w:val="24"/>
        </w:rPr>
      </w:pPr>
      <w:r w:rsidRPr="006429B6">
        <w:rPr>
          <w:rFonts w:ascii="Times New Roman" w:hAnsi="Times New Roman" w:cs="Times New Roman"/>
          <w:b/>
          <w:bCs/>
          <w:sz w:val="24"/>
          <w:szCs w:val="24"/>
        </w:rPr>
        <w:t>Mental State of the Criminal</w:t>
      </w:r>
    </w:p>
    <w:p w:rsidR="0017666D" w:rsidRPr="006429B6" w:rsidRDefault="00852A38" w:rsidP="006429B6">
      <w:pPr>
        <w:spacing w:after="0" w:line="480" w:lineRule="auto"/>
        <w:ind w:firstLine="720"/>
        <w:contextualSpacing/>
        <w:rPr>
          <w:rFonts w:ascii="Times New Roman" w:hAnsi="Times New Roman" w:cs="Times New Roman"/>
          <w:sz w:val="24"/>
          <w:szCs w:val="24"/>
        </w:rPr>
      </w:pPr>
      <w:r w:rsidRPr="006429B6">
        <w:rPr>
          <w:rFonts w:ascii="Times New Roman" w:hAnsi="Times New Roman" w:cs="Times New Roman"/>
          <w:sz w:val="24"/>
          <w:szCs w:val="24"/>
        </w:rPr>
        <w:t xml:space="preserve">Tyree Johnson is diagnosed to be of perfect mental health with no records of any previous mental illness. The mental state an individual is in during the proceedings of a crime is commonly known as the </w:t>
      </w:r>
      <w:r w:rsidRPr="006429B6">
        <w:rPr>
          <w:rFonts w:ascii="Times New Roman" w:hAnsi="Times New Roman" w:cs="Times New Roman"/>
          <w:i/>
          <w:iCs/>
          <w:sz w:val="24"/>
          <w:szCs w:val="24"/>
        </w:rPr>
        <w:t>mens rea</w:t>
      </w:r>
      <w:r w:rsidRPr="006429B6">
        <w:rPr>
          <w:rFonts w:ascii="Times New Roman" w:hAnsi="Times New Roman" w:cs="Times New Roman"/>
          <w:sz w:val="24"/>
          <w:szCs w:val="24"/>
        </w:rPr>
        <w:t>. It is catego</w:t>
      </w:r>
      <w:r w:rsidRPr="006429B6">
        <w:rPr>
          <w:rFonts w:ascii="Times New Roman" w:hAnsi="Times New Roman" w:cs="Times New Roman"/>
          <w:sz w:val="24"/>
          <w:szCs w:val="24"/>
        </w:rPr>
        <w:t>rized into three types; general intent, specific intent and criminal negligence</w:t>
      </w:r>
      <w:r w:rsidRPr="006429B6">
        <w:rPr>
          <w:rFonts w:ascii="Times New Roman" w:hAnsi="Times New Roman" w:cs="Times New Roman"/>
          <w:sz w:val="24"/>
          <w:szCs w:val="24"/>
        </w:rPr>
        <w:t xml:space="preserve"> (Waterworth, </w:t>
      </w:r>
      <w:r w:rsidRPr="006429B6">
        <w:rPr>
          <w:rFonts w:ascii="Times New Roman" w:hAnsi="Times New Roman" w:cs="Times New Roman"/>
          <w:sz w:val="24"/>
          <w:szCs w:val="24"/>
        </w:rPr>
        <w:t>2019)</w:t>
      </w:r>
      <w:r w:rsidRPr="006429B6">
        <w:rPr>
          <w:rFonts w:ascii="Times New Roman" w:hAnsi="Times New Roman" w:cs="Times New Roman"/>
          <w:sz w:val="24"/>
          <w:szCs w:val="24"/>
        </w:rPr>
        <w:t>. A general intent state of mind is that which is clearly inclined into committing the murder. In this case, the crime draws out of the committer naturally, s</w:t>
      </w:r>
      <w:r w:rsidRPr="006429B6">
        <w:rPr>
          <w:rFonts w:ascii="Times New Roman" w:hAnsi="Times New Roman" w:cs="Times New Roman"/>
          <w:sz w:val="24"/>
          <w:szCs w:val="24"/>
        </w:rPr>
        <w:t xml:space="preserve">ometimes even when the individual has no will to do so. Whenever the individual engages in a simple act, it is expected of him/her to result into committing the crime. In a court of law, the prosecutor needs to prove that the accused had actual intentions </w:t>
      </w:r>
      <w:r w:rsidRPr="006429B6">
        <w:rPr>
          <w:rFonts w:ascii="Times New Roman" w:hAnsi="Times New Roman" w:cs="Times New Roman"/>
          <w:sz w:val="24"/>
          <w:szCs w:val="24"/>
        </w:rPr>
        <w:t xml:space="preserve">of committing the crime for it to be categorized as general intent. </w:t>
      </w:r>
      <w:r w:rsidR="006429B6" w:rsidRPr="006429B6">
        <w:rPr>
          <w:rFonts w:ascii="Times New Roman" w:hAnsi="Times New Roman" w:cs="Times New Roman"/>
          <w:sz w:val="24"/>
          <w:szCs w:val="24"/>
        </w:rPr>
        <w:t>An example of crimes committed with the state of mind being general intent includes</w:t>
      </w:r>
      <w:r w:rsidRPr="006429B6">
        <w:rPr>
          <w:rFonts w:ascii="Times New Roman" w:hAnsi="Times New Roman" w:cs="Times New Roman"/>
          <w:sz w:val="24"/>
          <w:szCs w:val="24"/>
        </w:rPr>
        <w:t xml:space="preserve"> rape, battery and kidnapping. A specific intent state of mind is that which is in a criminal who commits </w:t>
      </w:r>
      <w:r w:rsidRPr="006429B6">
        <w:rPr>
          <w:rFonts w:ascii="Times New Roman" w:hAnsi="Times New Roman" w:cs="Times New Roman"/>
          <w:sz w:val="24"/>
          <w:szCs w:val="24"/>
        </w:rPr>
        <w:t>an action with the expectations of a particular type of result. One example of a crime that is specific is conspiracy. Negligence or recklessness is also a state of mind that a criminal could be in. It involves getting involved in actions without necessari</w:t>
      </w:r>
      <w:r w:rsidRPr="006429B6">
        <w:rPr>
          <w:rFonts w:ascii="Times New Roman" w:hAnsi="Times New Roman" w:cs="Times New Roman"/>
          <w:sz w:val="24"/>
          <w:szCs w:val="24"/>
        </w:rPr>
        <w:t>ly caring about the final outcome. However, recklessness is different from negligence. Recklessness is at a higher level of guilt than negligence.</w:t>
      </w:r>
    </w:p>
    <w:p w:rsidR="0017666D" w:rsidRPr="006429B6" w:rsidRDefault="00852A38" w:rsidP="006429B6">
      <w:pPr>
        <w:spacing w:after="0" w:line="480" w:lineRule="auto"/>
        <w:ind w:firstLine="720"/>
        <w:contextualSpacing/>
        <w:rPr>
          <w:rFonts w:ascii="Times New Roman" w:hAnsi="Times New Roman" w:cs="Times New Roman"/>
          <w:sz w:val="24"/>
          <w:szCs w:val="24"/>
        </w:rPr>
      </w:pPr>
      <w:r w:rsidRPr="006429B6">
        <w:rPr>
          <w:rFonts w:ascii="Times New Roman" w:hAnsi="Times New Roman" w:cs="Times New Roman"/>
          <w:sz w:val="24"/>
          <w:szCs w:val="24"/>
        </w:rPr>
        <w:t>Mr. Campbell inquired on the most accurate method of determining the presence of the virus in the body and th</w:t>
      </w:r>
      <w:r w:rsidRPr="006429B6">
        <w:rPr>
          <w:rFonts w:ascii="Times New Roman" w:hAnsi="Times New Roman" w:cs="Times New Roman"/>
          <w:sz w:val="24"/>
          <w:szCs w:val="24"/>
        </w:rPr>
        <w:t>is turned out to be the method of direct proof. It involves directly isolating all the viruses in the body and closely determining their identities. The reason why there is less usage of the direct proof method is due to the high prices involved in its con</w:t>
      </w:r>
      <w:r w:rsidRPr="006429B6">
        <w:rPr>
          <w:rFonts w:ascii="Times New Roman" w:hAnsi="Times New Roman" w:cs="Times New Roman"/>
          <w:sz w:val="24"/>
          <w:szCs w:val="24"/>
        </w:rPr>
        <w:t>duction. The process of direct proof method is considered to be very expensive. Dr. Richardson also pointed out that it is difficult to single out the HIV viruses in the body cells. For instance, when looking for the flu virus, one would single out close t</w:t>
      </w:r>
      <w:r w:rsidRPr="006429B6">
        <w:rPr>
          <w:rFonts w:ascii="Times New Roman" w:hAnsi="Times New Roman" w:cs="Times New Roman"/>
          <w:sz w:val="24"/>
          <w:szCs w:val="24"/>
        </w:rPr>
        <w:t>o two hundred out of five hundred flu cells. As for HIV viruses, one can only get a single cell out of ten thousand cells. The second most accurate means of determining the presence of the virus in the body is through direct evidence. This method associate</w:t>
      </w:r>
      <w:r w:rsidRPr="006429B6">
        <w:rPr>
          <w:rFonts w:ascii="Times New Roman" w:hAnsi="Times New Roman" w:cs="Times New Roman"/>
          <w:sz w:val="24"/>
          <w:szCs w:val="24"/>
        </w:rPr>
        <w:t>s itself with the identification of fragments belonging to the virus. Direct evidence can be linked to the analogy of looking for your car in a carpark full of cars while under a blindfold. One can only be certain of his car due to unique features that are</w:t>
      </w:r>
      <w:r w:rsidRPr="006429B6">
        <w:rPr>
          <w:rFonts w:ascii="Times New Roman" w:hAnsi="Times New Roman" w:cs="Times New Roman"/>
          <w:sz w:val="24"/>
          <w:szCs w:val="24"/>
        </w:rPr>
        <w:t xml:space="preserve"> well identified to the individual. These include a convertible top with a special wheel cover. According to Dr. Richardson, the HIV ELISA test is meant to identify the antibodies of the virus and not particles of the virus itself. It is also important to </w:t>
      </w:r>
      <w:r w:rsidRPr="006429B6">
        <w:rPr>
          <w:rFonts w:ascii="Times New Roman" w:hAnsi="Times New Roman" w:cs="Times New Roman"/>
          <w:sz w:val="24"/>
          <w:szCs w:val="24"/>
        </w:rPr>
        <w:t>note that an antibody would only exist in one’s body after the acquisition of a cure. This state generally means that in the event one turns out to be positive in a HIV ELISA test, there is proof that the antibody is within the body thereby implying that t</w:t>
      </w:r>
      <w:r w:rsidRPr="006429B6">
        <w:rPr>
          <w:rFonts w:ascii="Times New Roman" w:hAnsi="Times New Roman" w:cs="Times New Roman"/>
          <w:sz w:val="24"/>
          <w:szCs w:val="24"/>
        </w:rPr>
        <w:t>he individual is actually immune to the virus.</w:t>
      </w:r>
    </w:p>
    <w:p w:rsidR="0017666D" w:rsidRPr="006429B6" w:rsidRDefault="00852A38" w:rsidP="006429B6">
      <w:pPr>
        <w:spacing w:after="0" w:line="480" w:lineRule="auto"/>
        <w:contextualSpacing/>
        <w:rPr>
          <w:rFonts w:ascii="Times New Roman" w:hAnsi="Times New Roman" w:cs="Times New Roman"/>
          <w:b/>
          <w:bCs/>
          <w:sz w:val="24"/>
          <w:szCs w:val="24"/>
        </w:rPr>
      </w:pPr>
      <w:r w:rsidRPr="006429B6">
        <w:rPr>
          <w:rFonts w:ascii="Times New Roman" w:hAnsi="Times New Roman" w:cs="Times New Roman"/>
          <w:b/>
          <w:bCs/>
          <w:sz w:val="24"/>
          <w:szCs w:val="24"/>
        </w:rPr>
        <w:t>Conclusion</w:t>
      </w:r>
    </w:p>
    <w:p w:rsidR="0017666D" w:rsidRPr="006429B6" w:rsidRDefault="00852A38" w:rsidP="006429B6">
      <w:pPr>
        <w:spacing w:after="0" w:line="480" w:lineRule="auto"/>
        <w:ind w:firstLine="720"/>
        <w:contextualSpacing/>
        <w:rPr>
          <w:rFonts w:ascii="Times New Roman" w:hAnsi="Times New Roman" w:cs="Times New Roman"/>
          <w:sz w:val="24"/>
          <w:szCs w:val="24"/>
        </w:rPr>
      </w:pPr>
      <w:r w:rsidRPr="006429B6">
        <w:rPr>
          <w:rFonts w:ascii="Times New Roman" w:hAnsi="Times New Roman" w:cs="Times New Roman"/>
          <w:sz w:val="24"/>
          <w:szCs w:val="24"/>
        </w:rPr>
        <w:t>Tyree Johnson is presumed to have only undergone the test and the results turned out to be positive. These results therefore mean that he is only immune to an attack by the HIV virus. This contra</w:t>
      </w:r>
      <w:r w:rsidRPr="006429B6">
        <w:rPr>
          <w:rFonts w:ascii="Times New Roman" w:hAnsi="Times New Roman" w:cs="Times New Roman"/>
          <w:sz w:val="24"/>
          <w:szCs w:val="24"/>
        </w:rPr>
        <w:t>dicts to what Mr. Armand is insinuating. Mr. Johnson is actually not positive to the virus thereby implying that he could have not infected Ms. Brooks. Eventually, the defendant was found not guilty and was released without any parole.</w:t>
      </w: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17666D" w:rsidP="006429B6">
      <w:pPr>
        <w:spacing w:after="0" w:line="480" w:lineRule="auto"/>
        <w:contextualSpacing/>
        <w:rPr>
          <w:rFonts w:ascii="Times New Roman" w:hAnsi="Times New Roman" w:cs="Times New Roman"/>
          <w:sz w:val="24"/>
          <w:szCs w:val="24"/>
        </w:rPr>
      </w:pPr>
    </w:p>
    <w:p w:rsidR="0017666D" w:rsidRPr="006429B6" w:rsidRDefault="00852A38" w:rsidP="006429B6">
      <w:pPr>
        <w:spacing w:after="0" w:line="480" w:lineRule="auto"/>
        <w:contextualSpacing/>
        <w:jc w:val="center"/>
        <w:rPr>
          <w:rFonts w:ascii="Times New Roman" w:hAnsi="Times New Roman" w:cs="Times New Roman"/>
          <w:bCs/>
          <w:sz w:val="24"/>
          <w:szCs w:val="24"/>
        </w:rPr>
      </w:pPr>
      <w:r w:rsidRPr="006429B6">
        <w:rPr>
          <w:rFonts w:ascii="Times New Roman" w:hAnsi="Times New Roman" w:cs="Times New Roman"/>
          <w:bCs/>
          <w:sz w:val="24"/>
          <w:szCs w:val="24"/>
        </w:rPr>
        <w:t>References</w:t>
      </w:r>
    </w:p>
    <w:p w:rsidR="0017666D" w:rsidRPr="006429B6" w:rsidRDefault="00852A38" w:rsidP="006429B6">
      <w:pPr>
        <w:spacing w:after="0" w:line="480" w:lineRule="auto"/>
        <w:ind w:left="720" w:hanging="720"/>
        <w:contextualSpacing/>
        <w:rPr>
          <w:rFonts w:ascii="Times New Roman" w:hAnsi="Times New Roman" w:cs="Times New Roman"/>
          <w:sz w:val="24"/>
          <w:szCs w:val="24"/>
        </w:rPr>
      </w:pPr>
      <w:r w:rsidRPr="006429B6">
        <w:rPr>
          <w:rFonts w:ascii="Times New Roman" w:hAnsi="Times New Roman" w:cs="Times New Roman"/>
          <w:sz w:val="24"/>
          <w:szCs w:val="24"/>
        </w:rPr>
        <w:t>Hayes, D. (2018). Duration of care proceedings off target. Children and Young People Now, 2018(11), 10-11.</w:t>
      </w:r>
    </w:p>
    <w:p w:rsidR="0017666D" w:rsidRPr="006429B6" w:rsidRDefault="00852A38" w:rsidP="006429B6">
      <w:pPr>
        <w:spacing w:after="0" w:line="480" w:lineRule="auto"/>
        <w:ind w:left="720" w:hanging="720"/>
        <w:contextualSpacing/>
        <w:rPr>
          <w:rFonts w:ascii="Times New Roman" w:hAnsi="Times New Roman" w:cs="Times New Roman"/>
          <w:sz w:val="24"/>
          <w:szCs w:val="24"/>
        </w:rPr>
      </w:pPr>
      <w:r w:rsidRPr="006429B6">
        <w:rPr>
          <w:rFonts w:ascii="Times New Roman" w:hAnsi="Times New Roman" w:cs="Times New Roman"/>
          <w:sz w:val="24"/>
          <w:szCs w:val="24"/>
        </w:rPr>
        <w:t>Huang, W., Wei, W., Shi, X. T., &amp; Jiang, T. (2017). The analysis of the detection performance of nucleic acid testing and ELISA for HIV, H</w:t>
      </w:r>
      <w:r w:rsidRPr="006429B6">
        <w:rPr>
          <w:rFonts w:ascii="Times New Roman" w:hAnsi="Times New Roman" w:cs="Times New Roman"/>
          <w:sz w:val="24"/>
          <w:szCs w:val="24"/>
        </w:rPr>
        <w:t>BV and HCB. Frontiers in Laboratory Medicine, 1(4), 200-202.</w:t>
      </w:r>
    </w:p>
    <w:p w:rsidR="0017666D" w:rsidRPr="006429B6" w:rsidRDefault="00852A38" w:rsidP="006429B6">
      <w:pPr>
        <w:spacing w:after="0" w:line="480" w:lineRule="auto"/>
        <w:ind w:left="720" w:hanging="720"/>
        <w:contextualSpacing/>
        <w:rPr>
          <w:rFonts w:ascii="Times New Roman" w:hAnsi="Times New Roman" w:cs="Times New Roman"/>
          <w:sz w:val="24"/>
          <w:szCs w:val="24"/>
        </w:rPr>
      </w:pPr>
      <w:r w:rsidRPr="006429B6">
        <w:rPr>
          <w:rFonts w:ascii="Times New Roman" w:hAnsi="Times New Roman" w:cs="Times New Roman"/>
          <w:sz w:val="24"/>
          <w:szCs w:val="24"/>
        </w:rPr>
        <w:t>McSwiggan, S., Elger, B., &amp; Appelbaum, P. S. (2017). The forensic use of behavioral genetics in criminal proceedings: Case of the MAOA-L genotype. International journal of law and psychiatry, 50,</w:t>
      </w:r>
      <w:r w:rsidRPr="006429B6">
        <w:rPr>
          <w:rFonts w:ascii="Times New Roman" w:hAnsi="Times New Roman" w:cs="Times New Roman"/>
          <w:sz w:val="24"/>
          <w:szCs w:val="24"/>
        </w:rPr>
        <w:t xml:space="preserve"> 17-23.</w:t>
      </w:r>
    </w:p>
    <w:p w:rsidR="0017666D" w:rsidRPr="006429B6" w:rsidRDefault="00852A38" w:rsidP="006429B6">
      <w:pPr>
        <w:spacing w:after="0" w:line="480" w:lineRule="auto"/>
        <w:ind w:left="720" w:hanging="720"/>
        <w:contextualSpacing/>
        <w:rPr>
          <w:rFonts w:ascii="Times New Roman" w:hAnsi="Times New Roman" w:cs="Times New Roman"/>
          <w:sz w:val="24"/>
          <w:szCs w:val="24"/>
        </w:rPr>
      </w:pPr>
      <w:r w:rsidRPr="006429B6">
        <w:rPr>
          <w:rFonts w:ascii="Times New Roman" w:hAnsi="Times New Roman" w:cs="Times New Roman"/>
          <w:sz w:val="24"/>
          <w:szCs w:val="24"/>
        </w:rPr>
        <w:t>Vishnubhakat, S., Rai, A. K., &amp; Kesan, J. P. (2016). Strategic Decision Making in Dual PTAB and District Court Proceedings. Berkeley Tech. LJ, 31, 45.</w:t>
      </w:r>
    </w:p>
    <w:p w:rsidR="0017666D" w:rsidRPr="006429B6" w:rsidRDefault="00852A38" w:rsidP="006429B6">
      <w:pPr>
        <w:spacing w:after="0" w:line="480" w:lineRule="auto"/>
        <w:ind w:left="720" w:hanging="720"/>
        <w:contextualSpacing/>
        <w:rPr>
          <w:rFonts w:ascii="Times New Roman" w:hAnsi="Times New Roman" w:cs="Times New Roman"/>
          <w:sz w:val="24"/>
          <w:szCs w:val="24"/>
        </w:rPr>
      </w:pPr>
      <w:r w:rsidRPr="006429B6">
        <w:rPr>
          <w:rFonts w:ascii="Times New Roman" w:hAnsi="Times New Roman" w:cs="Times New Roman"/>
          <w:sz w:val="24"/>
          <w:szCs w:val="24"/>
        </w:rPr>
        <w:t>Waterworth, R. (2019). The Case for Mea</w:t>
      </w:r>
      <w:bookmarkStart w:id="0" w:name="_GoBack"/>
      <w:bookmarkEnd w:id="0"/>
      <w:r w:rsidRPr="006429B6">
        <w:rPr>
          <w:rFonts w:ascii="Times New Roman" w:hAnsi="Times New Roman" w:cs="Times New Roman"/>
          <w:sz w:val="24"/>
          <w:szCs w:val="24"/>
        </w:rPr>
        <w:t xml:space="preserve">suring Legal Actor Contributions in Court Proceedings. </w:t>
      </w:r>
      <w:r w:rsidRPr="006429B6">
        <w:rPr>
          <w:rFonts w:ascii="Times New Roman" w:hAnsi="Times New Roman" w:cs="Times New Roman"/>
          <w:sz w:val="24"/>
          <w:szCs w:val="24"/>
        </w:rPr>
        <w:t>Psychiatry, Psychology and Law, 26(1), 77-86.</w:t>
      </w:r>
    </w:p>
    <w:p w:rsidR="0017666D" w:rsidRPr="006429B6" w:rsidRDefault="0017666D" w:rsidP="006429B6">
      <w:pPr>
        <w:spacing w:after="0" w:line="480" w:lineRule="auto"/>
        <w:ind w:left="720" w:hanging="720"/>
        <w:contextualSpacing/>
        <w:rPr>
          <w:rFonts w:ascii="Times New Roman" w:hAnsi="Times New Roman" w:cs="Times New Roman"/>
          <w:sz w:val="24"/>
          <w:szCs w:val="24"/>
        </w:rPr>
      </w:pPr>
    </w:p>
    <w:sectPr w:rsidR="0017666D" w:rsidRPr="006429B6" w:rsidSect="006429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A38" w:rsidRDefault="00852A38" w:rsidP="006429B6">
      <w:pPr>
        <w:spacing w:after="0" w:line="240" w:lineRule="auto"/>
      </w:pPr>
      <w:r>
        <w:separator/>
      </w:r>
    </w:p>
  </w:endnote>
  <w:endnote w:type="continuationSeparator" w:id="0">
    <w:p w:rsidR="00852A38" w:rsidRDefault="00852A38" w:rsidP="00642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A38" w:rsidRDefault="00852A38" w:rsidP="006429B6">
      <w:pPr>
        <w:spacing w:after="0" w:line="240" w:lineRule="auto"/>
      </w:pPr>
      <w:r>
        <w:separator/>
      </w:r>
    </w:p>
  </w:footnote>
  <w:footnote w:type="continuationSeparator" w:id="0">
    <w:p w:rsidR="00852A38" w:rsidRDefault="00852A38" w:rsidP="006429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9B6" w:rsidRDefault="006429B6" w:rsidP="006429B6">
    <w:pPr>
      <w:pStyle w:val="Header"/>
      <w:tabs>
        <w:tab w:val="clear" w:pos="4680"/>
      </w:tabs>
    </w:pPr>
    <w:r w:rsidRPr="006429B6">
      <w:rPr>
        <w:rFonts w:ascii="Times New Roman" w:hAnsi="Times New Roman" w:cs="Times New Roman"/>
        <w:sz w:val="24"/>
        <w:szCs w:val="24"/>
      </w:rPr>
      <w:t>MURDER CASE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9B6" w:rsidRPr="006429B6" w:rsidRDefault="006429B6" w:rsidP="006429B6">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6429B6">
      <w:rPr>
        <w:rFonts w:ascii="Times New Roman" w:hAnsi="Times New Roman" w:cs="Times New Roman"/>
        <w:sz w:val="24"/>
        <w:szCs w:val="24"/>
      </w:rPr>
      <w:t>MURDER CASE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52A38">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6D"/>
    <w:rsid w:val="0017666D"/>
    <w:rsid w:val="006429B6"/>
    <w:rsid w:val="00852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9B6"/>
  </w:style>
  <w:style w:type="paragraph" w:styleId="Footer">
    <w:name w:val="footer"/>
    <w:basedOn w:val="Normal"/>
    <w:link w:val="FooterChar"/>
    <w:uiPriority w:val="99"/>
    <w:unhideWhenUsed/>
    <w:rsid w:val="00642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9B6"/>
  </w:style>
  <w:style w:type="paragraph" w:styleId="Footer">
    <w:name w:val="footer"/>
    <w:basedOn w:val="Normal"/>
    <w:link w:val="FooterChar"/>
    <w:uiPriority w:val="99"/>
    <w:unhideWhenUsed/>
    <w:rsid w:val="00642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2020-06-29T13:59:00Z</dcterms:created>
  <dcterms:modified xsi:type="dcterms:W3CDTF">2020-06-29T13:59:00Z</dcterms:modified>
</cp:coreProperties>
</file>