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470" w:rsidRPr="0020676F"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E73470" w:rsidRPr="0020676F"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E73470" w:rsidRPr="0020676F"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E73470" w:rsidRPr="0020676F"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E73470" w:rsidRPr="0020676F"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E73470"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20676F" w:rsidRPr="0020676F" w:rsidRDefault="0020676F"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E73470" w:rsidRPr="0020676F" w:rsidRDefault="00E73470" w:rsidP="0020676F">
      <w:pPr>
        <w:tabs>
          <w:tab w:val="left" w:pos="735"/>
          <w:tab w:val="left" w:pos="4500"/>
          <w:tab w:val="center" w:pos="4635"/>
        </w:tabs>
        <w:spacing w:line="480" w:lineRule="auto"/>
        <w:ind w:firstLine="720"/>
        <w:contextualSpacing/>
        <w:jc w:val="center"/>
        <w:rPr>
          <w:rFonts w:ascii="Times New Roman" w:hAnsi="Times New Roman" w:cs="Times New Roman"/>
          <w:color w:val="1B1B1B"/>
          <w:sz w:val="24"/>
          <w:szCs w:val="24"/>
          <w:shd w:val="clear" w:color="auto" w:fill="FFFFFF"/>
        </w:rPr>
      </w:pPr>
    </w:p>
    <w:p w:rsidR="00D641BC" w:rsidRPr="0020676F" w:rsidRDefault="00D641BC" w:rsidP="0020676F">
      <w:pPr>
        <w:spacing w:line="480" w:lineRule="auto"/>
        <w:jc w:val="center"/>
        <w:rPr>
          <w:rFonts w:ascii="Times New Roman" w:hAnsi="Times New Roman" w:cs="Times New Roman"/>
          <w:sz w:val="24"/>
          <w:szCs w:val="24"/>
        </w:rPr>
      </w:pPr>
      <w:r w:rsidRPr="0020676F">
        <w:rPr>
          <w:rFonts w:ascii="Times New Roman" w:hAnsi="Times New Roman" w:cs="Times New Roman"/>
          <w:sz w:val="24"/>
          <w:szCs w:val="24"/>
          <w:shd w:val="clear" w:color="auto" w:fill="FFFFFF"/>
        </w:rPr>
        <w:t>Burglary in the State of Florida</w:t>
      </w:r>
    </w:p>
    <w:p w:rsidR="002343CA" w:rsidRPr="0020676F" w:rsidRDefault="002343CA" w:rsidP="0020676F">
      <w:pPr>
        <w:spacing w:line="480" w:lineRule="auto"/>
        <w:jc w:val="center"/>
        <w:rPr>
          <w:rFonts w:ascii="Times New Roman" w:eastAsia="Calibri" w:hAnsi="Times New Roman" w:cs="Times New Roman"/>
          <w:sz w:val="24"/>
          <w:szCs w:val="24"/>
        </w:rPr>
      </w:pPr>
      <w:r w:rsidRPr="0020676F">
        <w:rPr>
          <w:rFonts w:ascii="Times New Roman" w:eastAsia="Calibri" w:hAnsi="Times New Roman" w:cs="Times New Roman"/>
          <w:sz w:val="24"/>
          <w:szCs w:val="24"/>
        </w:rPr>
        <w:t>Name</w:t>
      </w:r>
    </w:p>
    <w:p w:rsidR="00D641BC" w:rsidRPr="0020676F" w:rsidRDefault="008F5E23" w:rsidP="0020676F">
      <w:pPr>
        <w:spacing w:line="480" w:lineRule="auto"/>
        <w:jc w:val="center"/>
        <w:rPr>
          <w:rFonts w:ascii="Times New Roman" w:eastAsia="Calibri" w:hAnsi="Times New Roman" w:cs="Times New Roman"/>
          <w:sz w:val="24"/>
          <w:szCs w:val="24"/>
        </w:rPr>
      </w:pPr>
      <w:r w:rsidRPr="0020676F">
        <w:rPr>
          <w:rFonts w:ascii="Times New Roman" w:eastAsia="Calibri" w:hAnsi="Times New Roman" w:cs="Times New Roman"/>
          <w:sz w:val="24"/>
          <w:szCs w:val="24"/>
        </w:rPr>
        <w:t>Instructor</w:t>
      </w:r>
    </w:p>
    <w:p w:rsidR="008F5E23" w:rsidRPr="0020676F" w:rsidRDefault="008F5E23" w:rsidP="0020676F">
      <w:pPr>
        <w:spacing w:line="480" w:lineRule="auto"/>
        <w:jc w:val="center"/>
        <w:rPr>
          <w:rFonts w:ascii="Times New Roman" w:eastAsia="Calibri" w:hAnsi="Times New Roman" w:cs="Times New Roman"/>
          <w:sz w:val="24"/>
          <w:szCs w:val="24"/>
        </w:rPr>
      </w:pPr>
      <w:r w:rsidRPr="0020676F">
        <w:rPr>
          <w:rFonts w:ascii="Times New Roman" w:eastAsia="Calibri" w:hAnsi="Times New Roman" w:cs="Times New Roman"/>
          <w:sz w:val="24"/>
          <w:szCs w:val="24"/>
        </w:rPr>
        <w:t>Course</w:t>
      </w:r>
    </w:p>
    <w:p w:rsidR="008F5E23" w:rsidRPr="0020676F" w:rsidRDefault="008F5E23" w:rsidP="0020676F">
      <w:pPr>
        <w:spacing w:line="480" w:lineRule="auto"/>
        <w:jc w:val="center"/>
        <w:rPr>
          <w:rFonts w:ascii="Times New Roman" w:eastAsia="Calibri" w:hAnsi="Times New Roman" w:cs="Times New Roman"/>
          <w:sz w:val="24"/>
          <w:szCs w:val="24"/>
        </w:rPr>
      </w:pPr>
      <w:r w:rsidRPr="0020676F">
        <w:rPr>
          <w:rFonts w:ascii="Times New Roman" w:eastAsia="Calibri" w:hAnsi="Times New Roman" w:cs="Times New Roman"/>
          <w:sz w:val="24"/>
          <w:szCs w:val="24"/>
        </w:rPr>
        <w:t>Date</w:t>
      </w:r>
    </w:p>
    <w:p w:rsidR="008F5E23" w:rsidRPr="0020676F" w:rsidRDefault="008F5E23" w:rsidP="0020676F">
      <w:pPr>
        <w:spacing w:line="480" w:lineRule="auto"/>
        <w:contextualSpacing/>
        <w:rPr>
          <w:rFonts w:ascii="Times New Roman" w:eastAsia="Calibri" w:hAnsi="Times New Roman" w:cs="Times New Roman"/>
          <w:sz w:val="24"/>
          <w:szCs w:val="24"/>
        </w:rPr>
      </w:pPr>
    </w:p>
    <w:p w:rsidR="00D641BC" w:rsidRPr="0020676F" w:rsidRDefault="00D641BC" w:rsidP="0020676F">
      <w:pPr>
        <w:spacing w:line="480" w:lineRule="auto"/>
        <w:contextualSpacing/>
        <w:rPr>
          <w:rFonts w:ascii="Times New Roman" w:eastAsia="Calibri" w:hAnsi="Times New Roman" w:cs="Times New Roman"/>
          <w:sz w:val="24"/>
          <w:szCs w:val="24"/>
        </w:rPr>
      </w:pPr>
    </w:p>
    <w:p w:rsidR="00E73470" w:rsidRPr="0020676F" w:rsidRDefault="00E73470" w:rsidP="0020676F">
      <w:pPr>
        <w:spacing w:line="480" w:lineRule="auto"/>
        <w:contextualSpacing/>
        <w:rPr>
          <w:rFonts w:ascii="Times New Roman" w:eastAsia="Calibri" w:hAnsi="Times New Roman" w:cs="Times New Roman"/>
          <w:sz w:val="24"/>
          <w:szCs w:val="24"/>
        </w:rPr>
      </w:pPr>
    </w:p>
    <w:p w:rsidR="00E73470" w:rsidRPr="0020676F" w:rsidRDefault="00E73470" w:rsidP="0020676F">
      <w:pPr>
        <w:spacing w:line="480" w:lineRule="auto"/>
        <w:contextualSpacing/>
        <w:rPr>
          <w:rFonts w:ascii="Times New Roman" w:eastAsia="Calibri" w:hAnsi="Times New Roman" w:cs="Times New Roman"/>
          <w:sz w:val="24"/>
          <w:szCs w:val="24"/>
        </w:rPr>
      </w:pPr>
    </w:p>
    <w:p w:rsidR="00E73470" w:rsidRPr="0020676F" w:rsidRDefault="00E73470" w:rsidP="0020676F">
      <w:pPr>
        <w:spacing w:line="480" w:lineRule="auto"/>
        <w:contextualSpacing/>
        <w:rPr>
          <w:rFonts w:ascii="Times New Roman" w:eastAsia="Calibri" w:hAnsi="Times New Roman" w:cs="Times New Roman"/>
          <w:sz w:val="24"/>
          <w:szCs w:val="24"/>
        </w:rPr>
      </w:pPr>
    </w:p>
    <w:p w:rsidR="00E73470" w:rsidRPr="0020676F" w:rsidRDefault="00E73470" w:rsidP="0020676F">
      <w:pPr>
        <w:spacing w:line="480" w:lineRule="auto"/>
        <w:contextualSpacing/>
        <w:rPr>
          <w:rFonts w:ascii="Times New Roman" w:eastAsia="Calibri" w:hAnsi="Times New Roman" w:cs="Times New Roman"/>
          <w:sz w:val="24"/>
          <w:szCs w:val="24"/>
        </w:rPr>
      </w:pPr>
    </w:p>
    <w:p w:rsidR="00E73470" w:rsidRPr="0020676F" w:rsidRDefault="00E73470" w:rsidP="0020676F">
      <w:pPr>
        <w:spacing w:line="480" w:lineRule="auto"/>
        <w:contextualSpacing/>
        <w:rPr>
          <w:rFonts w:ascii="Times New Roman" w:eastAsia="Calibri" w:hAnsi="Times New Roman" w:cs="Times New Roman"/>
          <w:sz w:val="24"/>
          <w:szCs w:val="24"/>
        </w:rPr>
      </w:pPr>
    </w:p>
    <w:p w:rsidR="00E73470" w:rsidRPr="0020676F" w:rsidRDefault="00E73470" w:rsidP="0020676F">
      <w:pPr>
        <w:spacing w:line="480" w:lineRule="auto"/>
        <w:contextualSpacing/>
        <w:rPr>
          <w:rFonts w:ascii="Times New Roman" w:eastAsia="Calibri" w:hAnsi="Times New Roman" w:cs="Times New Roman"/>
          <w:sz w:val="24"/>
          <w:szCs w:val="24"/>
        </w:rPr>
      </w:pPr>
    </w:p>
    <w:p w:rsidR="00D641BC" w:rsidRPr="0020676F" w:rsidRDefault="00D641BC" w:rsidP="0020676F">
      <w:pPr>
        <w:spacing w:line="480" w:lineRule="auto"/>
        <w:contextualSpacing/>
        <w:rPr>
          <w:rFonts w:ascii="Times New Roman" w:eastAsia="Calibri" w:hAnsi="Times New Roman" w:cs="Times New Roman"/>
          <w:sz w:val="24"/>
          <w:szCs w:val="24"/>
        </w:rPr>
      </w:pPr>
    </w:p>
    <w:p w:rsidR="00896F66" w:rsidRPr="0020676F" w:rsidRDefault="00896F66"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lastRenderedPageBreak/>
        <w:t>Introduction</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The definition of a dwelling structure or conveyance and the difference between any other structures is contained and comprehensively outlined under section 810.10, Florida Statutes. According to this statute, burglary can only occur where; a defendant enters in a structure, or conveyance or a dwelling place which is owned by or legally in possession of another person. In addition, Palmer (2018) adds that the defendant must have had an intention to commit a crime or an offense in that structure, conveyance or dwelling place. The law does not classify unauthorized access a crime unless there is enough evidence that the defendant was determined to commit a crime or an offense or in one way or another intended to commit an offense. Section 810.02 under the Florida statutes declares that authorized access of a dwelling place, a structure, or conveyance can be termed as a burglary if the defendant commits a crime or in some way intends to commit a crime. Also, when the permission to access the structure expires or permission was withdrawn but the defendant remains in the structure with an intention to commit a crime. </w:t>
      </w:r>
    </w:p>
    <w:p w:rsidR="004F6565" w:rsidRPr="0020676F" w:rsidRDefault="004F6565"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t>Difference between dwellings from other types of structures</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The difference between a dwelling place and other structures in defined under section 810.011(1)-(3) under Florida Statutes. The term ‘structure’ is defined as a means of a building of whichever kind irrespective of whether it is permanent or temporary provided it has a roof over it, together with the curtilage thereof. This is different from a conveyance which is literally vessels, motor vehicles, aircraft, sleeping car, railroad vehicle, or a ship. This section further defines a dwelling place as either mobile or immobile structure with a roof over it so long as it can be occupied by people at night as </w:t>
      </w:r>
      <w:r w:rsidR="008F5E23" w:rsidRPr="0020676F">
        <w:rPr>
          <w:rFonts w:ascii="Times New Roman" w:hAnsi="Times New Roman" w:cs="Times New Roman"/>
          <w:sz w:val="24"/>
          <w:szCs w:val="24"/>
        </w:rPr>
        <w:t>lodging</w:t>
      </w:r>
      <w:r w:rsidRPr="0020676F">
        <w:rPr>
          <w:rFonts w:ascii="Times New Roman" w:hAnsi="Times New Roman" w:cs="Times New Roman"/>
          <w:sz w:val="24"/>
          <w:szCs w:val="24"/>
        </w:rPr>
        <w:t xml:space="preserve">. Such a structure should be enclosed or within an enclosed space which surrounds it (Palmer, 2018). </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There are other features that distinguish a dwelling structure from other types of structures such as occupation. A dwelling structure must have evidence of occupation at the time of the crime. Burglary of a dwelling in Florida is specifically outlined under section 810.02(3) which is unlawful entering of a dwelling and remaining inside even after permission to access the structure has been withdrawn. Accessing a dwelling with </w:t>
      </w:r>
      <w:r w:rsidR="008F5E23" w:rsidRPr="0020676F">
        <w:rPr>
          <w:rFonts w:ascii="Times New Roman" w:hAnsi="Times New Roman" w:cs="Times New Roman"/>
          <w:sz w:val="24"/>
          <w:szCs w:val="24"/>
        </w:rPr>
        <w:t>intent</w:t>
      </w:r>
      <w:r w:rsidRPr="0020676F">
        <w:rPr>
          <w:rFonts w:ascii="Times New Roman" w:hAnsi="Times New Roman" w:cs="Times New Roman"/>
          <w:sz w:val="24"/>
          <w:szCs w:val="24"/>
        </w:rPr>
        <w:t xml:space="preserve"> to commit a crime is what qualifies to be burglary as per section 810.02(3) under Florida Statutes.  </w:t>
      </w:r>
    </w:p>
    <w:p w:rsidR="004F6565" w:rsidRPr="0020676F" w:rsidRDefault="004F6565"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t>Burglary of a vehicle</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Burglary of a vehicle is defined under section 810.02(4) (b) Florida Statutes which is a general provision for burglary of a conveyance. Under this section, a conveyance is defined as </w:t>
      </w:r>
      <w:r w:rsidR="008F5E23" w:rsidRPr="0020676F">
        <w:rPr>
          <w:rFonts w:ascii="Times New Roman" w:hAnsi="Times New Roman" w:cs="Times New Roman"/>
          <w:sz w:val="24"/>
          <w:szCs w:val="24"/>
        </w:rPr>
        <w:t>a</w:t>
      </w:r>
      <w:r w:rsidRPr="0020676F">
        <w:rPr>
          <w:rFonts w:ascii="Times New Roman" w:hAnsi="Times New Roman" w:cs="Times New Roman"/>
          <w:sz w:val="24"/>
          <w:szCs w:val="24"/>
        </w:rPr>
        <w:t xml:space="preserve"> sleeping car, motor vehicle, a ship, railroad vehicle, aircraft, trailer, or a vessel. Unlike burglary of a dwelling, burglary of a vehicle or a conveyance is determined by whether it was occupied or not and whether there was any sort of operations inside the vehicle at the time of the incidence. Like any other type of burglary, burglary of a crime also can be proved if the defendant had the intention to commit a crime while inside the vehicle (Goldman, 2016). </w:t>
      </w:r>
    </w:p>
    <w:p w:rsidR="004F6565" w:rsidRPr="0020676F" w:rsidRDefault="004F6565"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t>Coin-operated machines</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Florida Statute877.08 clearly makes it a crime to interfere with the operations of a coin-operated machine. This section states that under no circumstance should any persons damage, access, molest, or steal from a coin-operated machine. Under this section, a coin-operated machine is defined as a vending machine and is any machine, vehicle, or contrivance that is solely adapted in such a way that its operations are driven by insertion of a coin. There must be something that the person inserting the coin will get in return such as food, insurance protection, telephone, or even a drink. This section criminalizes the interference of such a machine. It is a criminal offense under this section to maliciously or mischievously temper with a coin-operated machine either by damaging or stealing from it (Goldman, 2016). Under the same act, the prosecutor is required under the law to prove that defendant molested, broke, opened, injured, or in some way inserted some part of his body or any other instrument that interfered with the operations of the machine. The prosecution must also prove that the defendant intended to commit larceny and that the machine was owned by another person.  </w:t>
      </w:r>
    </w:p>
    <w:p w:rsidR="004F6565" w:rsidRPr="0020676F" w:rsidRDefault="004F6565"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t>Punishment for the burglary</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The punishment for any sort of burglary in Florida is outlined under Florida’s Criminal Punishment Code which gives an outline of various offenses and their punishment (Robinson, 2017). Burglary of a dwelling is categorized as a second-degree felony and is punishable by not less than 15 years in prison or 15 years of probation, and a fine not exceeding $10,000. In some special cases, a judge is required by the law not sentence a person convicted of burglary of a dwelling place for a minimum of 21 months in prison. This is very different from the burglary of a structure. The same criminal punishment code categorizes burglary of an unoccupied structure as a third-degree felony which is punishable by up to 5 years in prison or of probation and can also include a fine of $5,000. Burglary of an occupied conveyance is categorized as second-degree felony and calls for similar punishment as that of burglary of a dwelling. </w:t>
      </w:r>
    </w:p>
    <w:p w:rsidR="004F6565" w:rsidRPr="0020676F" w:rsidRDefault="004F6565"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t>Difference between a person and a nonperson type of burglary</w:t>
      </w:r>
    </w:p>
    <w:p w:rsidR="004F6565"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 xml:space="preserve">The statute differentiates between a person and a nonperson type of burglary. The difference starts with the nature of the offense that the defendant commits and the type of punishment for the offense committed. A nonperson burglary is defined under subsection (b) and is a severity level 7 which is also termed as a nonperson felony. A person burglary is defined under subsection (a) a person felony and this is literally simple burglary. </w:t>
      </w:r>
    </w:p>
    <w:p w:rsidR="004F6565" w:rsidRPr="0020676F" w:rsidRDefault="004F6565" w:rsidP="0020676F">
      <w:pPr>
        <w:spacing w:line="480" w:lineRule="auto"/>
        <w:jc w:val="center"/>
        <w:rPr>
          <w:rFonts w:ascii="Times New Roman" w:hAnsi="Times New Roman" w:cs="Times New Roman"/>
          <w:b/>
          <w:sz w:val="24"/>
          <w:szCs w:val="24"/>
        </w:rPr>
      </w:pPr>
      <w:r w:rsidRPr="0020676F">
        <w:rPr>
          <w:rFonts w:ascii="Times New Roman" w:hAnsi="Times New Roman" w:cs="Times New Roman"/>
          <w:b/>
          <w:sz w:val="24"/>
          <w:szCs w:val="24"/>
        </w:rPr>
        <w:t>Aggravated burglary</w:t>
      </w:r>
    </w:p>
    <w:p w:rsidR="00D641BC" w:rsidRPr="0020676F" w:rsidRDefault="004F6565" w:rsidP="0020676F">
      <w:pPr>
        <w:spacing w:line="480" w:lineRule="auto"/>
        <w:ind w:firstLine="720"/>
        <w:rPr>
          <w:rFonts w:ascii="Times New Roman" w:hAnsi="Times New Roman" w:cs="Times New Roman"/>
          <w:sz w:val="24"/>
          <w:szCs w:val="24"/>
        </w:rPr>
      </w:pPr>
      <w:r w:rsidRPr="0020676F">
        <w:rPr>
          <w:rFonts w:ascii="Times New Roman" w:hAnsi="Times New Roman" w:cs="Times New Roman"/>
          <w:sz w:val="24"/>
          <w:szCs w:val="24"/>
        </w:rPr>
        <w:t>This statute differentiates between aggravated burglary from simple burglary by stating that aggravated burglary as a more serious offense or crime. A simple burglary is enhanced to aggravated burglary is there is a person in the person in the vehicle or house and that the main aim of the defendant was to cause harm to that person. Under this statute, entering in a dwelling or in a vehicle with or without permission with an aim of causing harm to the occupant is what amounts to aggravated burglary. This involves causing harm to a person either knowingly or unknowingly provided the occupant was armed (Robinson, 2017). Also, entering a dwelling without permission and in whatever way committing a crime against the occupant is termed as aggravated burglary.  There must be a person in the dwelling or conveyance for the burglar committed to amount to aggravated burglary. This kind of crime calls for a maximum sentence of 15 years.</w:t>
      </w:r>
    </w:p>
    <w:p w:rsidR="00D641BC" w:rsidRPr="0020676F" w:rsidRDefault="00D641BC" w:rsidP="0020676F">
      <w:pPr>
        <w:spacing w:line="480" w:lineRule="auto"/>
        <w:rPr>
          <w:rFonts w:ascii="Times New Roman" w:hAnsi="Times New Roman" w:cs="Times New Roman"/>
          <w:sz w:val="24"/>
          <w:szCs w:val="24"/>
        </w:rPr>
      </w:pPr>
    </w:p>
    <w:p w:rsidR="00D641BC" w:rsidRPr="0020676F" w:rsidRDefault="00D641BC" w:rsidP="0020676F">
      <w:pPr>
        <w:spacing w:line="480" w:lineRule="auto"/>
        <w:rPr>
          <w:rFonts w:ascii="Times New Roman" w:hAnsi="Times New Roman" w:cs="Times New Roman"/>
          <w:sz w:val="24"/>
          <w:szCs w:val="24"/>
        </w:rPr>
      </w:pPr>
    </w:p>
    <w:p w:rsidR="004F6565" w:rsidRPr="0020676F" w:rsidRDefault="004F6565" w:rsidP="0020676F">
      <w:pPr>
        <w:spacing w:line="480" w:lineRule="auto"/>
        <w:rPr>
          <w:rFonts w:ascii="Times New Roman" w:hAnsi="Times New Roman" w:cs="Times New Roman"/>
          <w:sz w:val="24"/>
          <w:szCs w:val="24"/>
        </w:rPr>
      </w:pPr>
    </w:p>
    <w:p w:rsidR="004F6565" w:rsidRPr="0020676F" w:rsidRDefault="004F6565" w:rsidP="0020676F">
      <w:pPr>
        <w:spacing w:line="480" w:lineRule="auto"/>
        <w:rPr>
          <w:rFonts w:ascii="Times New Roman" w:hAnsi="Times New Roman" w:cs="Times New Roman"/>
          <w:sz w:val="24"/>
          <w:szCs w:val="24"/>
        </w:rPr>
      </w:pPr>
    </w:p>
    <w:p w:rsidR="004F6565" w:rsidRPr="0020676F" w:rsidRDefault="004F6565" w:rsidP="0020676F">
      <w:pPr>
        <w:spacing w:line="480" w:lineRule="auto"/>
        <w:rPr>
          <w:rFonts w:ascii="Times New Roman" w:hAnsi="Times New Roman" w:cs="Times New Roman"/>
          <w:sz w:val="24"/>
          <w:szCs w:val="24"/>
        </w:rPr>
      </w:pPr>
    </w:p>
    <w:p w:rsidR="004F6565" w:rsidRPr="0020676F" w:rsidRDefault="004F6565" w:rsidP="0020676F">
      <w:pPr>
        <w:spacing w:line="480" w:lineRule="auto"/>
        <w:rPr>
          <w:rFonts w:ascii="Times New Roman" w:hAnsi="Times New Roman" w:cs="Times New Roman"/>
          <w:sz w:val="24"/>
          <w:szCs w:val="24"/>
        </w:rPr>
      </w:pPr>
    </w:p>
    <w:p w:rsidR="00D641BC" w:rsidRPr="0020676F" w:rsidRDefault="00D641BC" w:rsidP="0020676F">
      <w:pPr>
        <w:spacing w:line="480" w:lineRule="auto"/>
        <w:rPr>
          <w:rFonts w:ascii="Times New Roman" w:hAnsi="Times New Roman" w:cs="Times New Roman"/>
          <w:sz w:val="24"/>
          <w:szCs w:val="24"/>
        </w:rPr>
      </w:pPr>
      <w:bookmarkStart w:id="0" w:name="_GoBack"/>
      <w:bookmarkEnd w:id="0"/>
    </w:p>
    <w:p w:rsidR="00D641BC" w:rsidRPr="0020676F" w:rsidRDefault="00D641BC" w:rsidP="0020676F">
      <w:pPr>
        <w:spacing w:line="480" w:lineRule="auto"/>
        <w:jc w:val="center"/>
        <w:rPr>
          <w:rFonts w:ascii="Times New Roman" w:hAnsi="Times New Roman" w:cs="Times New Roman"/>
          <w:sz w:val="24"/>
          <w:szCs w:val="24"/>
        </w:rPr>
      </w:pPr>
      <w:r w:rsidRPr="0020676F">
        <w:rPr>
          <w:rFonts w:ascii="Times New Roman" w:hAnsi="Times New Roman" w:cs="Times New Roman"/>
          <w:sz w:val="24"/>
          <w:szCs w:val="24"/>
        </w:rPr>
        <w:t>References</w:t>
      </w:r>
    </w:p>
    <w:p w:rsidR="00E73470" w:rsidRPr="0020676F" w:rsidRDefault="00E73470" w:rsidP="0020676F">
      <w:pPr>
        <w:spacing w:line="480" w:lineRule="auto"/>
        <w:ind w:left="720" w:hanging="720"/>
        <w:rPr>
          <w:rStyle w:val="itempublisher"/>
          <w:rFonts w:ascii="Times New Roman" w:hAnsi="Times New Roman" w:cs="Times New Roman"/>
          <w:sz w:val="24"/>
          <w:szCs w:val="24"/>
        </w:rPr>
      </w:pPr>
      <w:r w:rsidRPr="0020676F">
        <w:rPr>
          <w:rFonts w:ascii="Times New Roman" w:hAnsi="Times New Roman" w:cs="Times New Roman"/>
          <w:sz w:val="24"/>
          <w:szCs w:val="24"/>
        </w:rPr>
        <w:t xml:space="preserve">Goldman, P. (2016). </w:t>
      </w:r>
      <w:r w:rsidRPr="0020676F">
        <w:rPr>
          <w:rFonts w:ascii="Times New Roman" w:hAnsi="Times New Roman" w:cs="Times New Roman"/>
          <w:i/>
          <w:iCs/>
          <w:sz w:val="24"/>
          <w:szCs w:val="24"/>
        </w:rPr>
        <w:t>Florida criminal law</w:t>
      </w:r>
      <w:r w:rsidRPr="0020676F">
        <w:rPr>
          <w:rFonts w:ascii="Times New Roman" w:hAnsi="Times New Roman" w:cs="Times New Roman"/>
          <w:sz w:val="24"/>
          <w:szCs w:val="24"/>
        </w:rPr>
        <w:t>.</w:t>
      </w:r>
      <w:r w:rsidRPr="0020676F">
        <w:rPr>
          <w:rStyle w:val="itempublisher"/>
          <w:rFonts w:ascii="Times New Roman" w:hAnsi="Times New Roman" w:cs="Times New Roman"/>
          <w:sz w:val="24"/>
          <w:szCs w:val="24"/>
        </w:rPr>
        <w:t>Durham, North Carolina: Carolina Academic Press.</w:t>
      </w:r>
    </w:p>
    <w:p w:rsidR="00E73470" w:rsidRPr="0020676F" w:rsidRDefault="00E73470" w:rsidP="0020676F">
      <w:pPr>
        <w:spacing w:line="480" w:lineRule="auto"/>
        <w:ind w:left="720" w:hanging="720"/>
        <w:rPr>
          <w:rFonts w:ascii="Times New Roman" w:hAnsi="Times New Roman" w:cs="Times New Roman"/>
          <w:sz w:val="24"/>
          <w:szCs w:val="24"/>
        </w:rPr>
      </w:pPr>
      <w:r w:rsidRPr="0020676F">
        <w:rPr>
          <w:rFonts w:ascii="Times New Roman" w:hAnsi="Times New Roman" w:cs="Times New Roman"/>
          <w:sz w:val="24"/>
          <w:szCs w:val="24"/>
        </w:rPr>
        <w:t xml:space="preserve">Palmer, L. J. (2018). </w:t>
      </w:r>
      <w:r w:rsidRPr="0020676F">
        <w:rPr>
          <w:rFonts w:ascii="Times New Roman" w:hAnsi="Times New Roman" w:cs="Times New Roman"/>
          <w:i/>
          <w:iCs/>
          <w:sz w:val="24"/>
          <w:szCs w:val="24"/>
        </w:rPr>
        <w:t>Encyclopedia of capital punishment in the United States</w:t>
      </w:r>
      <w:r w:rsidRPr="0020676F">
        <w:rPr>
          <w:rFonts w:ascii="Times New Roman" w:hAnsi="Times New Roman" w:cs="Times New Roman"/>
          <w:sz w:val="24"/>
          <w:szCs w:val="24"/>
        </w:rPr>
        <w:t>. Jefferson, N.C: McFarland &amp; Co.</w:t>
      </w:r>
    </w:p>
    <w:p w:rsidR="00E73470" w:rsidRPr="0020676F" w:rsidRDefault="00E73470" w:rsidP="0020676F">
      <w:pPr>
        <w:spacing w:line="480" w:lineRule="auto"/>
        <w:ind w:left="720" w:hanging="720"/>
        <w:rPr>
          <w:rStyle w:val="itempublisher"/>
          <w:rFonts w:ascii="Times New Roman" w:hAnsi="Times New Roman" w:cs="Times New Roman"/>
          <w:sz w:val="24"/>
          <w:szCs w:val="24"/>
        </w:rPr>
      </w:pPr>
      <w:r w:rsidRPr="0020676F">
        <w:rPr>
          <w:rFonts w:ascii="Times New Roman" w:hAnsi="Times New Roman" w:cs="Times New Roman"/>
          <w:sz w:val="24"/>
          <w:szCs w:val="24"/>
        </w:rPr>
        <w:t xml:space="preserve">Robinson, M. B. (2017). </w:t>
      </w:r>
      <w:r w:rsidRPr="0020676F">
        <w:rPr>
          <w:rFonts w:ascii="Times New Roman" w:hAnsi="Times New Roman" w:cs="Times New Roman"/>
          <w:i/>
          <w:iCs/>
          <w:sz w:val="24"/>
          <w:szCs w:val="24"/>
        </w:rPr>
        <w:t>Ecology and crime: Lifestyles, routine activities, and residential burglary victimization</w:t>
      </w:r>
      <w:r w:rsidRPr="0020676F">
        <w:rPr>
          <w:rFonts w:ascii="Times New Roman" w:hAnsi="Times New Roman" w:cs="Times New Roman"/>
          <w:sz w:val="24"/>
          <w:szCs w:val="24"/>
        </w:rPr>
        <w:t>.</w:t>
      </w:r>
      <w:r w:rsidRPr="0020676F">
        <w:rPr>
          <w:rStyle w:val="itempublisher"/>
          <w:rFonts w:ascii="Times New Roman" w:hAnsi="Times New Roman" w:cs="Times New Roman"/>
          <w:sz w:val="24"/>
          <w:szCs w:val="24"/>
        </w:rPr>
        <w:t>LA Vergne: Skyhorse Publishing.</w:t>
      </w:r>
    </w:p>
    <w:p w:rsidR="00D641BC" w:rsidRPr="0020676F" w:rsidRDefault="00D641BC" w:rsidP="0020676F">
      <w:pPr>
        <w:spacing w:line="480" w:lineRule="auto"/>
        <w:rPr>
          <w:rFonts w:ascii="Times New Roman" w:hAnsi="Times New Roman" w:cs="Times New Roman"/>
          <w:sz w:val="24"/>
          <w:szCs w:val="24"/>
        </w:rPr>
      </w:pPr>
    </w:p>
    <w:p w:rsidR="0020676F" w:rsidRPr="0020676F" w:rsidRDefault="0020676F">
      <w:pPr>
        <w:spacing w:line="480" w:lineRule="auto"/>
        <w:rPr>
          <w:rFonts w:ascii="Times New Roman" w:hAnsi="Times New Roman" w:cs="Times New Roman"/>
          <w:sz w:val="24"/>
          <w:szCs w:val="24"/>
        </w:rPr>
      </w:pPr>
    </w:p>
    <w:sectPr w:rsidR="0020676F" w:rsidRPr="0020676F" w:rsidSect="002067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79A" w:rsidRDefault="00D7779A" w:rsidP="00795665">
      <w:pPr>
        <w:spacing w:after="0" w:line="240" w:lineRule="auto"/>
      </w:pPr>
      <w:r>
        <w:separator/>
      </w:r>
    </w:p>
  </w:endnote>
  <w:endnote w:type="continuationSeparator" w:id="1">
    <w:p w:rsidR="00D7779A" w:rsidRDefault="00D7779A" w:rsidP="007956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79A" w:rsidRDefault="00D7779A" w:rsidP="00795665">
      <w:pPr>
        <w:spacing w:after="0" w:line="240" w:lineRule="auto"/>
      </w:pPr>
      <w:r>
        <w:separator/>
      </w:r>
    </w:p>
  </w:footnote>
  <w:footnote w:type="continuationSeparator" w:id="1">
    <w:p w:rsidR="00D7779A" w:rsidRDefault="00D7779A" w:rsidP="007956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57930"/>
      <w:docPartObj>
        <w:docPartGallery w:val="Page Numbers (Top of Page)"/>
        <w:docPartUnique/>
      </w:docPartObj>
    </w:sdtPr>
    <w:sdtContent>
      <w:p w:rsidR="00E73470" w:rsidRPr="0020676F" w:rsidRDefault="0020676F" w:rsidP="0020676F">
        <w:pPr>
          <w:pStyle w:val="Header"/>
          <w:rPr>
            <w:rFonts w:ascii="Times New Roman" w:hAnsi="Times New Roman" w:cs="Times New Roman"/>
            <w:sz w:val="24"/>
            <w:szCs w:val="24"/>
          </w:rPr>
        </w:pPr>
        <w:r w:rsidRPr="0020676F">
          <w:rPr>
            <w:rFonts w:ascii="Times New Roman" w:hAnsi="Times New Roman" w:cs="Times New Roman"/>
            <w:sz w:val="24"/>
            <w:szCs w:val="24"/>
          </w:rPr>
          <w:t>BURGLARY IN THE STATE OF FLORIDA</w:t>
        </w:r>
        <w:r w:rsidRPr="0020676F">
          <w:rPr>
            <w:rFonts w:ascii="Times New Roman" w:hAnsi="Times New Roman" w:cs="Times New Roman"/>
            <w:sz w:val="24"/>
            <w:szCs w:val="24"/>
          </w:rPr>
          <w:tab/>
        </w:r>
        <w:r w:rsidRPr="0020676F">
          <w:rPr>
            <w:rFonts w:ascii="Times New Roman" w:hAnsi="Times New Roman" w:cs="Times New Roman"/>
            <w:sz w:val="24"/>
            <w:szCs w:val="24"/>
          </w:rPr>
          <w:tab/>
        </w:r>
        <w:r w:rsidRPr="0020676F">
          <w:rPr>
            <w:rFonts w:ascii="Times New Roman" w:hAnsi="Times New Roman" w:cs="Times New Roman"/>
            <w:sz w:val="24"/>
            <w:szCs w:val="24"/>
          </w:rPr>
          <w:fldChar w:fldCharType="begin"/>
        </w:r>
        <w:r w:rsidRPr="0020676F">
          <w:rPr>
            <w:rFonts w:ascii="Times New Roman" w:hAnsi="Times New Roman" w:cs="Times New Roman"/>
            <w:sz w:val="24"/>
            <w:szCs w:val="24"/>
          </w:rPr>
          <w:instrText xml:space="preserve"> PAGE   \* MERGEFORMAT </w:instrText>
        </w:r>
        <w:r w:rsidRPr="0020676F">
          <w:rPr>
            <w:rFonts w:ascii="Times New Roman" w:hAnsi="Times New Roman" w:cs="Times New Roman"/>
            <w:sz w:val="24"/>
            <w:szCs w:val="24"/>
          </w:rPr>
          <w:fldChar w:fldCharType="separate"/>
        </w:r>
        <w:r>
          <w:rPr>
            <w:rFonts w:ascii="Times New Roman" w:hAnsi="Times New Roman" w:cs="Times New Roman"/>
            <w:noProof/>
            <w:sz w:val="24"/>
            <w:szCs w:val="24"/>
          </w:rPr>
          <w:t>2</w:t>
        </w:r>
        <w:r w:rsidRPr="0020676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6F" w:rsidRPr="0020676F" w:rsidRDefault="0020676F" w:rsidP="0020676F">
    <w:pPr>
      <w:pStyle w:val="Header"/>
      <w:jc w:val="right"/>
      <w:rPr>
        <w:rFonts w:ascii="Times New Roman" w:hAnsi="Times New Roman" w:cs="Times New Roman"/>
        <w:sz w:val="24"/>
        <w:szCs w:val="24"/>
      </w:rPr>
    </w:pPr>
    <w:r w:rsidRPr="0020676F">
      <w:rPr>
        <w:rFonts w:ascii="Times New Roman" w:hAnsi="Times New Roman" w:cs="Times New Roman"/>
        <w:sz w:val="24"/>
        <w:szCs w:val="24"/>
      </w:rPr>
      <w:t xml:space="preserve">Running head: BURGLARY IN THE STATE OF FLORIDA </w:t>
    </w:r>
    <w:r w:rsidRPr="0020676F">
      <w:rPr>
        <w:rFonts w:ascii="Times New Roman" w:hAnsi="Times New Roman" w:cs="Times New Roman"/>
        <w:sz w:val="24"/>
        <w:szCs w:val="24"/>
      </w:rPr>
      <w:tab/>
    </w:r>
    <w:sdt>
      <w:sdtPr>
        <w:rPr>
          <w:rFonts w:ascii="Times New Roman" w:hAnsi="Times New Roman" w:cs="Times New Roman"/>
          <w:sz w:val="24"/>
          <w:szCs w:val="24"/>
        </w:rPr>
        <w:id w:val="8457872"/>
        <w:docPartObj>
          <w:docPartGallery w:val="Page Numbers (Top of Page)"/>
          <w:docPartUnique/>
        </w:docPartObj>
      </w:sdtPr>
      <w:sdtContent>
        <w:r w:rsidRPr="0020676F">
          <w:rPr>
            <w:rFonts w:ascii="Times New Roman" w:hAnsi="Times New Roman" w:cs="Times New Roman"/>
            <w:sz w:val="24"/>
            <w:szCs w:val="24"/>
          </w:rPr>
          <w:fldChar w:fldCharType="begin"/>
        </w:r>
        <w:r w:rsidRPr="0020676F">
          <w:rPr>
            <w:rFonts w:ascii="Times New Roman" w:hAnsi="Times New Roman" w:cs="Times New Roman"/>
            <w:sz w:val="24"/>
            <w:szCs w:val="24"/>
          </w:rPr>
          <w:instrText xml:space="preserve"> PAGE   \* MERGEFORMAT </w:instrText>
        </w:r>
        <w:r w:rsidRPr="0020676F">
          <w:rPr>
            <w:rFonts w:ascii="Times New Roman" w:hAnsi="Times New Roman" w:cs="Times New Roman"/>
            <w:sz w:val="24"/>
            <w:szCs w:val="24"/>
          </w:rPr>
          <w:fldChar w:fldCharType="separate"/>
        </w:r>
        <w:r w:rsidR="00D7779A">
          <w:rPr>
            <w:rFonts w:ascii="Times New Roman" w:hAnsi="Times New Roman" w:cs="Times New Roman"/>
            <w:noProof/>
            <w:sz w:val="24"/>
            <w:szCs w:val="24"/>
          </w:rPr>
          <w:t>1</w:t>
        </w:r>
        <w:r w:rsidRPr="0020676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6932E9"/>
    <w:rsid w:val="00044952"/>
    <w:rsid w:val="0020676F"/>
    <w:rsid w:val="002343CA"/>
    <w:rsid w:val="002C3188"/>
    <w:rsid w:val="00490172"/>
    <w:rsid w:val="004F6565"/>
    <w:rsid w:val="00503701"/>
    <w:rsid w:val="00520F3C"/>
    <w:rsid w:val="00657E86"/>
    <w:rsid w:val="006619D1"/>
    <w:rsid w:val="00684CDF"/>
    <w:rsid w:val="006932E9"/>
    <w:rsid w:val="00762DAF"/>
    <w:rsid w:val="00795665"/>
    <w:rsid w:val="007B5486"/>
    <w:rsid w:val="0080309A"/>
    <w:rsid w:val="00896F66"/>
    <w:rsid w:val="008F5E23"/>
    <w:rsid w:val="00917DFA"/>
    <w:rsid w:val="00981F71"/>
    <w:rsid w:val="00A86BF2"/>
    <w:rsid w:val="00D4505B"/>
    <w:rsid w:val="00D641BC"/>
    <w:rsid w:val="00D7779A"/>
    <w:rsid w:val="00E73470"/>
    <w:rsid w:val="00EC7A78"/>
    <w:rsid w:val="00F87B16"/>
    <w:rsid w:val="00FD345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3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65"/>
  </w:style>
  <w:style w:type="paragraph" w:styleId="Footer">
    <w:name w:val="footer"/>
    <w:basedOn w:val="Normal"/>
    <w:link w:val="FooterChar"/>
    <w:uiPriority w:val="99"/>
    <w:unhideWhenUsed/>
    <w:rsid w:val="00795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665"/>
  </w:style>
  <w:style w:type="character" w:customStyle="1" w:styleId="itempublisher">
    <w:name w:val="itempublisher"/>
    <w:basedOn w:val="DefaultParagraphFont"/>
    <w:rsid w:val="00D641B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2019-01-09T18:50:00Z</dcterms:created>
  <dcterms:modified xsi:type="dcterms:W3CDTF">2019-01-09T18:50:00Z</dcterms:modified>
</cp:coreProperties>
</file>