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64" w:rsidRDefault="00E21064" w:rsidP="00E21064">
      <w:pPr>
        <w:pStyle w:val="Header"/>
        <w:spacing w:line="480" w:lineRule="auto"/>
        <w:jc w:val="center"/>
        <w:rPr>
          <w:rFonts w:ascii="Times New Roman" w:hAnsi="Times New Roman" w:cs="Times New Roman"/>
          <w:color w:val="000000" w:themeColor="text1"/>
          <w:sz w:val="24"/>
          <w:szCs w:val="24"/>
        </w:rPr>
      </w:pPr>
    </w:p>
    <w:p w:rsidR="00782E3D" w:rsidRDefault="00782E3D" w:rsidP="00E21064">
      <w:pPr>
        <w:pStyle w:val="Header"/>
        <w:spacing w:line="480" w:lineRule="auto"/>
        <w:jc w:val="center"/>
        <w:rPr>
          <w:rFonts w:ascii="Times New Roman" w:hAnsi="Times New Roman" w:cs="Times New Roman"/>
          <w:color w:val="000000" w:themeColor="text1"/>
          <w:sz w:val="24"/>
          <w:szCs w:val="24"/>
        </w:rPr>
      </w:pPr>
    </w:p>
    <w:p w:rsidR="00782E3D" w:rsidRDefault="00782E3D" w:rsidP="00E21064">
      <w:pPr>
        <w:pStyle w:val="Header"/>
        <w:spacing w:line="480" w:lineRule="auto"/>
        <w:jc w:val="center"/>
        <w:rPr>
          <w:rFonts w:ascii="Times New Roman" w:hAnsi="Times New Roman" w:cs="Times New Roman"/>
          <w:color w:val="000000" w:themeColor="text1"/>
          <w:sz w:val="24"/>
          <w:szCs w:val="24"/>
        </w:rPr>
      </w:pPr>
    </w:p>
    <w:p w:rsidR="00782E3D" w:rsidRDefault="00782E3D" w:rsidP="00E21064">
      <w:pPr>
        <w:pStyle w:val="Header"/>
        <w:spacing w:line="480" w:lineRule="auto"/>
        <w:jc w:val="center"/>
        <w:rPr>
          <w:rFonts w:ascii="Times New Roman" w:hAnsi="Times New Roman" w:cs="Times New Roman"/>
          <w:color w:val="000000" w:themeColor="text1"/>
          <w:sz w:val="24"/>
          <w:szCs w:val="24"/>
        </w:rPr>
      </w:pPr>
    </w:p>
    <w:p w:rsidR="00782E3D" w:rsidRDefault="00782E3D" w:rsidP="00E21064">
      <w:pPr>
        <w:pStyle w:val="Header"/>
        <w:spacing w:line="480" w:lineRule="auto"/>
        <w:jc w:val="center"/>
        <w:rPr>
          <w:rFonts w:ascii="Times New Roman" w:hAnsi="Times New Roman" w:cs="Times New Roman"/>
          <w:color w:val="000000" w:themeColor="text1"/>
          <w:sz w:val="24"/>
          <w:szCs w:val="24"/>
        </w:rPr>
      </w:pPr>
    </w:p>
    <w:p w:rsidR="00782E3D" w:rsidRDefault="00782E3D" w:rsidP="00E21064">
      <w:pPr>
        <w:pStyle w:val="Header"/>
        <w:spacing w:line="480" w:lineRule="auto"/>
        <w:jc w:val="center"/>
        <w:rPr>
          <w:rFonts w:ascii="Times New Roman" w:hAnsi="Times New Roman" w:cs="Times New Roman"/>
          <w:color w:val="000000" w:themeColor="text1"/>
          <w:sz w:val="24"/>
          <w:szCs w:val="24"/>
        </w:rPr>
      </w:pPr>
    </w:p>
    <w:p w:rsidR="00782E3D" w:rsidRPr="00B77F14" w:rsidRDefault="00782E3D" w:rsidP="00E21064">
      <w:pPr>
        <w:pStyle w:val="Header"/>
        <w:spacing w:line="480" w:lineRule="auto"/>
        <w:jc w:val="center"/>
        <w:rPr>
          <w:rFonts w:ascii="Times New Roman" w:hAnsi="Times New Roman" w:cs="Times New Roman"/>
          <w:color w:val="000000" w:themeColor="text1"/>
          <w:sz w:val="24"/>
          <w:szCs w:val="24"/>
        </w:rPr>
      </w:pPr>
    </w:p>
    <w:p w:rsidR="000F3014" w:rsidRDefault="000F3014" w:rsidP="00E24C7A">
      <w:pPr>
        <w:spacing w:after="0" w:line="480" w:lineRule="auto"/>
        <w:jc w:val="center"/>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Business</w:t>
      </w:r>
      <w:r w:rsidR="00AB5E78" w:rsidRPr="00B77F14">
        <w:rPr>
          <w:rFonts w:ascii="Times New Roman" w:eastAsia="Times New Roman" w:hAnsi="Times New Roman" w:cs="Times New Roman"/>
          <w:color w:val="000000" w:themeColor="text1"/>
          <w:sz w:val="24"/>
          <w:szCs w:val="24"/>
        </w:rPr>
        <w:t>-</w:t>
      </w:r>
      <w:r w:rsidRPr="00B77F14">
        <w:rPr>
          <w:rFonts w:ascii="Times New Roman" w:eastAsia="Times New Roman" w:hAnsi="Times New Roman" w:cs="Times New Roman"/>
          <w:color w:val="000000" w:themeColor="text1"/>
          <w:sz w:val="24"/>
          <w:szCs w:val="24"/>
        </w:rPr>
        <w:t>class</w:t>
      </w: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w:t>
      </w: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Instructor</w:t>
      </w: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782E3D" w:rsidRPr="00B77F14" w:rsidRDefault="00782E3D" w:rsidP="00E24C7A">
      <w:pPr>
        <w:spacing w:after="0" w:line="480" w:lineRule="auto"/>
        <w:jc w:val="center"/>
        <w:rPr>
          <w:rFonts w:ascii="Times New Roman" w:eastAsia="Times New Roman" w:hAnsi="Times New Roman" w:cs="Times New Roman"/>
          <w:color w:val="000000" w:themeColor="text1"/>
          <w:sz w:val="24"/>
          <w:szCs w:val="24"/>
        </w:rPr>
      </w:pP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lastRenderedPageBreak/>
        <w:t xml:space="preserve">Question 1 </w:t>
      </w:r>
    </w:p>
    <w:p w:rsidR="00175AFF" w:rsidRPr="00B77F14" w:rsidRDefault="004D7F98"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Noting that a year ago quarter </w:t>
      </w:r>
      <w:r w:rsidR="00AB5E78" w:rsidRPr="00B77F14">
        <w:rPr>
          <w:rFonts w:ascii="Times New Roman" w:eastAsia="Times New Roman" w:hAnsi="Times New Roman" w:cs="Times New Roman"/>
          <w:color w:val="000000" w:themeColor="text1"/>
          <w:sz w:val="24"/>
          <w:szCs w:val="24"/>
        </w:rPr>
        <w:t>three</w:t>
      </w:r>
      <w:r w:rsidRPr="00B77F14">
        <w:rPr>
          <w:rFonts w:ascii="Times New Roman" w:eastAsia="Times New Roman" w:hAnsi="Times New Roman" w:cs="Times New Roman"/>
          <w:color w:val="000000" w:themeColor="text1"/>
          <w:sz w:val="24"/>
          <w:szCs w:val="24"/>
        </w:rPr>
        <w:t xml:space="preserve"> profits increased by 28.4% and following the cuts of Trump tax, the analysts expect that the earnings of S&amp;P500 shall face </w:t>
      </w:r>
      <w:r w:rsidR="00AB5E78" w:rsidRPr="00B77F14">
        <w:rPr>
          <w:rFonts w:ascii="Times New Roman" w:eastAsia="Times New Roman" w:hAnsi="Times New Roman" w:cs="Times New Roman"/>
          <w:color w:val="000000" w:themeColor="text1"/>
          <w:sz w:val="24"/>
          <w:szCs w:val="24"/>
        </w:rPr>
        <w:t>more robust</w:t>
      </w:r>
      <w:r w:rsidRPr="00B77F14">
        <w:rPr>
          <w:rFonts w:ascii="Times New Roman" w:eastAsia="Times New Roman" w:hAnsi="Times New Roman" w:cs="Times New Roman"/>
          <w:color w:val="000000" w:themeColor="text1"/>
          <w:sz w:val="24"/>
          <w:szCs w:val="24"/>
        </w:rPr>
        <w:t xml:space="preserve"> comparisons. The analysts are anticipating the contractions of net profit margins. </w:t>
      </w:r>
      <w:r w:rsidR="00EB7B68" w:rsidRPr="00B77F14">
        <w:rPr>
          <w:rFonts w:ascii="Times New Roman" w:eastAsia="Times New Roman" w:hAnsi="Times New Roman" w:cs="Times New Roman"/>
          <w:color w:val="000000" w:themeColor="text1"/>
          <w:sz w:val="24"/>
          <w:szCs w:val="24"/>
        </w:rPr>
        <w:t>In the recent quarters, analysts have</w:t>
      </w:r>
      <w:r w:rsidR="00AB5E78" w:rsidRPr="00B77F14">
        <w:rPr>
          <w:rFonts w:ascii="Times New Roman" w:eastAsia="Times New Roman" w:hAnsi="Times New Roman" w:cs="Times New Roman"/>
          <w:color w:val="000000" w:themeColor="text1"/>
          <w:sz w:val="24"/>
          <w:szCs w:val="24"/>
        </w:rPr>
        <w:t>,</w:t>
      </w:r>
      <w:r w:rsidR="00EB7B68" w:rsidRPr="00B77F14">
        <w:rPr>
          <w:rFonts w:ascii="Times New Roman" w:eastAsia="Times New Roman" w:hAnsi="Times New Roman" w:cs="Times New Roman"/>
          <w:color w:val="000000" w:themeColor="text1"/>
          <w:sz w:val="24"/>
          <w:szCs w:val="24"/>
        </w:rPr>
        <w:t xml:space="preserve"> however</w:t>
      </w:r>
      <w:r w:rsidR="00AB5E78" w:rsidRPr="00B77F14">
        <w:rPr>
          <w:rFonts w:ascii="Times New Roman" w:eastAsia="Times New Roman" w:hAnsi="Times New Roman" w:cs="Times New Roman"/>
          <w:color w:val="000000" w:themeColor="text1"/>
          <w:sz w:val="24"/>
          <w:szCs w:val="24"/>
        </w:rPr>
        <w:t>,</w:t>
      </w:r>
      <w:r w:rsidR="00EB7B68" w:rsidRPr="00B77F14">
        <w:rPr>
          <w:rFonts w:ascii="Times New Roman" w:eastAsia="Times New Roman" w:hAnsi="Times New Roman" w:cs="Times New Roman"/>
          <w:color w:val="000000" w:themeColor="text1"/>
          <w:sz w:val="24"/>
          <w:szCs w:val="24"/>
        </w:rPr>
        <w:t xml:space="preserve"> underestimated.  </w:t>
      </w:r>
      <w:r w:rsidR="00966849" w:rsidRPr="00B77F14">
        <w:rPr>
          <w:rFonts w:ascii="Times New Roman" w:eastAsia="Times New Roman" w:hAnsi="Times New Roman" w:cs="Times New Roman"/>
          <w:color w:val="000000" w:themeColor="text1"/>
          <w:sz w:val="24"/>
          <w:szCs w:val="24"/>
        </w:rPr>
        <w:t xml:space="preserve">In earnings of the S&amp;P500, Wall Street </w:t>
      </w:r>
      <w:r w:rsidR="00AB5E78" w:rsidRPr="00B77F14">
        <w:rPr>
          <w:rFonts w:ascii="Times New Roman" w:eastAsia="Times New Roman" w:hAnsi="Times New Roman" w:cs="Times New Roman"/>
          <w:color w:val="000000" w:themeColor="text1"/>
          <w:sz w:val="24"/>
          <w:szCs w:val="24"/>
        </w:rPr>
        <w:t>predic</w:t>
      </w:r>
      <w:r w:rsidR="00966849" w:rsidRPr="00B77F14">
        <w:rPr>
          <w:rFonts w:ascii="Times New Roman" w:eastAsia="Times New Roman" w:hAnsi="Times New Roman" w:cs="Times New Roman"/>
          <w:color w:val="000000" w:themeColor="text1"/>
          <w:sz w:val="24"/>
          <w:szCs w:val="24"/>
        </w:rPr>
        <w:t>ted a 0.2% decline, but real results indicate a decrease of 3.2%</w:t>
      </w:r>
      <w:r w:rsidR="006D279C" w:rsidRPr="00B77F14">
        <w:rPr>
          <w:rFonts w:ascii="Times New Roman" w:eastAsia="Times New Roman" w:hAnsi="Times New Roman" w:cs="Times New Roman"/>
          <w:color w:val="000000" w:themeColor="text1"/>
          <w:sz w:val="24"/>
          <w:szCs w:val="24"/>
        </w:rPr>
        <w:t xml:space="preserve"> in Q2</w:t>
      </w:r>
      <w:r w:rsidR="00966849" w:rsidRPr="00B77F14">
        <w:rPr>
          <w:rFonts w:ascii="Times New Roman" w:eastAsia="Times New Roman" w:hAnsi="Times New Roman" w:cs="Times New Roman"/>
          <w:color w:val="000000" w:themeColor="text1"/>
          <w:sz w:val="24"/>
          <w:szCs w:val="24"/>
        </w:rPr>
        <w:t xml:space="preserve">. </w:t>
      </w:r>
      <w:r w:rsidR="006D279C" w:rsidRPr="00B77F14">
        <w:rPr>
          <w:rFonts w:ascii="Times New Roman" w:eastAsia="Times New Roman" w:hAnsi="Times New Roman" w:cs="Times New Roman"/>
          <w:color w:val="000000" w:themeColor="text1"/>
          <w:sz w:val="24"/>
          <w:szCs w:val="24"/>
        </w:rPr>
        <w:t xml:space="preserve">Analysts saw a 2% decline in Q1, but the actual results </w:t>
      </w:r>
      <w:r w:rsidR="00AB5E78" w:rsidRPr="00B77F14">
        <w:rPr>
          <w:rFonts w:ascii="Times New Roman" w:eastAsia="Times New Roman" w:hAnsi="Times New Roman" w:cs="Times New Roman"/>
          <w:color w:val="000000" w:themeColor="text1"/>
          <w:sz w:val="24"/>
          <w:szCs w:val="24"/>
        </w:rPr>
        <w:t>show</w:t>
      </w:r>
      <w:r w:rsidR="006D279C" w:rsidRPr="00B77F14">
        <w:rPr>
          <w:rFonts w:ascii="Times New Roman" w:eastAsia="Times New Roman" w:hAnsi="Times New Roman" w:cs="Times New Roman"/>
          <w:color w:val="000000" w:themeColor="text1"/>
          <w:sz w:val="24"/>
          <w:szCs w:val="24"/>
        </w:rPr>
        <w:t>ed an increase of 1.6%.</w:t>
      </w:r>
      <w:r w:rsidR="008476A6" w:rsidRPr="00B77F14">
        <w:rPr>
          <w:rFonts w:ascii="Times New Roman" w:eastAsia="Times New Roman" w:hAnsi="Times New Roman" w:cs="Times New Roman"/>
          <w:color w:val="000000" w:themeColor="text1"/>
          <w:sz w:val="24"/>
          <w:szCs w:val="24"/>
        </w:rPr>
        <w:t xml:space="preserve"> The companies tend to beat the estim</w:t>
      </w:r>
      <w:r w:rsidR="00FF14B7" w:rsidRPr="00B77F14">
        <w:rPr>
          <w:rFonts w:ascii="Times New Roman" w:eastAsia="Times New Roman" w:hAnsi="Times New Roman" w:cs="Times New Roman"/>
          <w:color w:val="000000" w:themeColor="text1"/>
          <w:sz w:val="24"/>
          <w:szCs w:val="24"/>
        </w:rPr>
        <w:t>ates of earnings as they report. G</w:t>
      </w:r>
      <w:r w:rsidR="008476A6" w:rsidRPr="00B77F14">
        <w:rPr>
          <w:rFonts w:ascii="Times New Roman" w:eastAsia="Times New Roman" w:hAnsi="Times New Roman" w:cs="Times New Roman"/>
          <w:color w:val="000000" w:themeColor="text1"/>
          <w:sz w:val="24"/>
          <w:szCs w:val="24"/>
        </w:rPr>
        <w:t xml:space="preserve">rowth rates tend to grow over the earning season course. </w:t>
      </w:r>
    </w:p>
    <w:p w:rsidR="00782E3D"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2: </w:t>
      </w:r>
    </w:p>
    <w:p w:rsidR="00E107AF" w:rsidRPr="00B77F14" w:rsidRDefault="00777A63"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The companies that led the charge were Johnson &amp; Johnson and UnitedHealth. </w:t>
      </w:r>
      <w:r w:rsidR="002A4325" w:rsidRPr="00B77F14">
        <w:rPr>
          <w:rFonts w:ascii="Times New Roman" w:eastAsia="Times New Roman" w:hAnsi="Times New Roman" w:cs="Times New Roman"/>
          <w:color w:val="000000" w:themeColor="text1"/>
          <w:sz w:val="24"/>
          <w:szCs w:val="24"/>
        </w:rPr>
        <w:t xml:space="preserve">Since January, shares of Johnson &amp; Johnson eyed their </w:t>
      </w:r>
      <w:r w:rsidR="00AB5E78" w:rsidRPr="00B77F14">
        <w:rPr>
          <w:rFonts w:ascii="Times New Roman" w:eastAsia="Times New Roman" w:hAnsi="Times New Roman" w:cs="Times New Roman"/>
          <w:color w:val="000000" w:themeColor="text1"/>
          <w:sz w:val="24"/>
          <w:szCs w:val="24"/>
        </w:rPr>
        <w:t>most significan</w:t>
      </w:r>
      <w:r w:rsidR="002A4325" w:rsidRPr="00B77F14">
        <w:rPr>
          <w:rFonts w:ascii="Times New Roman" w:eastAsia="Times New Roman" w:hAnsi="Times New Roman" w:cs="Times New Roman"/>
          <w:color w:val="000000" w:themeColor="text1"/>
          <w:sz w:val="24"/>
          <w:szCs w:val="24"/>
        </w:rPr>
        <w:t xml:space="preserve">t one-day percentage gains while in eight years; UnitedHealth Group Inc. was set to post its best day. This after both organizations increased the forecasts </w:t>
      </w:r>
      <w:r w:rsidR="00AB5E78" w:rsidRPr="00B77F14">
        <w:rPr>
          <w:rFonts w:ascii="Times New Roman" w:eastAsia="Times New Roman" w:hAnsi="Times New Roman" w:cs="Times New Roman"/>
          <w:color w:val="000000" w:themeColor="text1"/>
          <w:sz w:val="24"/>
          <w:szCs w:val="24"/>
        </w:rPr>
        <w:t>for</w:t>
      </w:r>
      <w:r w:rsidR="002A4325" w:rsidRPr="00B77F14">
        <w:rPr>
          <w:rFonts w:ascii="Times New Roman" w:eastAsia="Times New Roman" w:hAnsi="Times New Roman" w:cs="Times New Roman"/>
          <w:color w:val="000000" w:themeColor="text1"/>
          <w:sz w:val="24"/>
          <w:szCs w:val="24"/>
        </w:rPr>
        <w:t xml:space="preserve"> their profits. </w:t>
      </w:r>
      <w:r w:rsidR="0085052E" w:rsidRPr="00B77F14">
        <w:rPr>
          <w:rFonts w:ascii="Times New Roman" w:eastAsia="Times New Roman" w:hAnsi="Times New Roman" w:cs="Times New Roman"/>
          <w:color w:val="000000" w:themeColor="text1"/>
          <w:sz w:val="24"/>
          <w:szCs w:val="24"/>
        </w:rPr>
        <w:t>Johnson &amp; Johnson has sales of $ 20.7billion that reflect adjusted operational growths of 5.2%, growths of 1.9%</w:t>
      </w:r>
      <w:r w:rsidR="00AB5E78" w:rsidRPr="00B77F14">
        <w:rPr>
          <w:rFonts w:ascii="Times New Roman" w:eastAsia="Times New Roman" w:hAnsi="Times New Roman" w:cs="Times New Roman"/>
          <w:color w:val="000000" w:themeColor="text1"/>
          <w:sz w:val="24"/>
          <w:szCs w:val="24"/>
        </w:rPr>
        <w:t>,</w:t>
      </w:r>
      <w:r w:rsidR="0085052E" w:rsidRPr="00B77F14">
        <w:rPr>
          <w:rFonts w:ascii="Times New Roman" w:eastAsia="Times New Roman" w:hAnsi="Times New Roman" w:cs="Times New Roman"/>
          <w:color w:val="000000" w:themeColor="text1"/>
          <w:sz w:val="24"/>
          <w:szCs w:val="24"/>
        </w:rPr>
        <w:t xml:space="preserve"> and </w:t>
      </w:r>
      <w:r w:rsidR="006F670E" w:rsidRPr="00B77F14">
        <w:rPr>
          <w:rFonts w:ascii="Times New Roman" w:eastAsia="Times New Roman" w:hAnsi="Times New Roman" w:cs="Times New Roman"/>
          <w:color w:val="000000" w:themeColor="text1"/>
          <w:sz w:val="24"/>
          <w:szCs w:val="24"/>
        </w:rPr>
        <w:t>operational increases of 3.2%. The company realized earnings per share of $ 1.81, which is an increase of 25.6% as well as adjusted earnings per share of $ 2.12</w:t>
      </w:r>
      <w:r w:rsidR="00AB5E78" w:rsidRPr="00B77F14">
        <w:rPr>
          <w:rFonts w:ascii="Times New Roman" w:eastAsia="Times New Roman" w:hAnsi="Times New Roman" w:cs="Times New Roman"/>
          <w:color w:val="000000" w:themeColor="text1"/>
          <w:sz w:val="24"/>
          <w:szCs w:val="24"/>
        </w:rPr>
        <w:t>,</w:t>
      </w:r>
      <w:r w:rsidR="00E24C7A">
        <w:rPr>
          <w:rFonts w:ascii="Times New Roman" w:eastAsia="Times New Roman" w:hAnsi="Times New Roman" w:cs="Times New Roman"/>
          <w:color w:val="000000" w:themeColor="text1"/>
          <w:sz w:val="24"/>
          <w:szCs w:val="24"/>
        </w:rPr>
        <w:t xml:space="preserve"> </w:t>
      </w:r>
      <w:r w:rsidR="00AB5E78" w:rsidRPr="00B77F14">
        <w:rPr>
          <w:rFonts w:ascii="Times New Roman" w:eastAsia="Times New Roman" w:hAnsi="Times New Roman" w:cs="Times New Roman"/>
          <w:color w:val="000000" w:themeColor="text1"/>
          <w:sz w:val="24"/>
          <w:szCs w:val="24"/>
        </w:rPr>
        <w:t>which</w:t>
      </w:r>
      <w:r w:rsidR="006F670E" w:rsidRPr="00B77F14">
        <w:rPr>
          <w:rFonts w:ascii="Times New Roman" w:eastAsia="Times New Roman" w:hAnsi="Times New Roman" w:cs="Times New Roman"/>
          <w:color w:val="000000" w:themeColor="text1"/>
          <w:sz w:val="24"/>
          <w:szCs w:val="24"/>
        </w:rPr>
        <w:t xml:space="preserve"> was a growth of 3.4%. The firm increased earnings per share guidance and full</w:t>
      </w:r>
      <w:r w:rsidR="00AB5E78" w:rsidRPr="00B77F14">
        <w:rPr>
          <w:rFonts w:ascii="Times New Roman" w:eastAsia="Times New Roman" w:hAnsi="Times New Roman" w:cs="Times New Roman"/>
          <w:color w:val="000000" w:themeColor="text1"/>
          <w:sz w:val="24"/>
          <w:szCs w:val="24"/>
        </w:rPr>
        <w:t>-</w:t>
      </w:r>
      <w:r w:rsidR="006F670E" w:rsidRPr="00B77F14">
        <w:rPr>
          <w:rFonts w:ascii="Times New Roman" w:eastAsia="Times New Roman" w:hAnsi="Times New Roman" w:cs="Times New Roman"/>
          <w:color w:val="000000" w:themeColor="text1"/>
          <w:sz w:val="24"/>
          <w:szCs w:val="24"/>
        </w:rPr>
        <w:t xml:space="preserve">year sales due to strong performances. </w:t>
      </w:r>
      <w:r w:rsidR="00E107AF" w:rsidRPr="00B77F14">
        <w:rPr>
          <w:rFonts w:ascii="Times New Roman" w:eastAsia="Times New Roman" w:hAnsi="Times New Roman" w:cs="Times New Roman"/>
          <w:color w:val="000000" w:themeColor="text1"/>
          <w:sz w:val="24"/>
          <w:szCs w:val="24"/>
        </w:rPr>
        <w:t xml:space="preserve">Total Revenues of $60.4 Billion </w:t>
      </w:r>
      <w:r w:rsidR="005C1EDB" w:rsidRPr="00B77F14">
        <w:rPr>
          <w:rFonts w:ascii="Times New Roman" w:eastAsia="Times New Roman" w:hAnsi="Times New Roman" w:cs="Times New Roman"/>
          <w:color w:val="000000" w:themeColor="text1"/>
          <w:sz w:val="24"/>
          <w:szCs w:val="24"/>
        </w:rPr>
        <w:t>of United</w:t>
      </w:r>
      <w:r w:rsidR="00E24C7A">
        <w:rPr>
          <w:rFonts w:ascii="Times New Roman" w:eastAsia="Times New Roman" w:hAnsi="Times New Roman" w:cs="Times New Roman"/>
          <w:color w:val="000000" w:themeColor="text1"/>
          <w:sz w:val="24"/>
          <w:szCs w:val="24"/>
        </w:rPr>
        <w:t xml:space="preserve"> </w:t>
      </w:r>
      <w:r w:rsidR="005C1EDB" w:rsidRPr="00B77F14">
        <w:rPr>
          <w:rFonts w:ascii="Times New Roman" w:eastAsia="Times New Roman" w:hAnsi="Times New Roman" w:cs="Times New Roman"/>
          <w:color w:val="000000" w:themeColor="text1"/>
          <w:sz w:val="24"/>
          <w:szCs w:val="24"/>
        </w:rPr>
        <w:t>Hea</w:t>
      </w:r>
      <w:r w:rsidR="0054197D" w:rsidRPr="00B77F14">
        <w:rPr>
          <w:rFonts w:ascii="Times New Roman" w:eastAsia="Times New Roman" w:hAnsi="Times New Roman" w:cs="Times New Roman"/>
          <w:color w:val="000000" w:themeColor="text1"/>
          <w:sz w:val="24"/>
          <w:szCs w:val="24"/>
        </w:rPr>
        <w:t xml:space="preserve">lth grew by 7% or $3.8 Billion. Operating </w:t>
      </w:r>
      <w:r w:rsidR="00AB5E78" w:rsidRPr="00B77F14">
        <w:rPr>
          <w:rFonts w:ascii="Times New Roman" w:eastAsia="Times New Roman" w:hAnsi="Times New Roman" w:cs="Times New Roman"/>
          <w:color w:val="000000" w:themeColor="text1"/>
          <w:sz w:val="24"/>
          <w:szCs w:val="24"/>
        </w:rPr>
        <w:t>e</w:t>
      </w:r>
      <w:r w:rsidR="0054197D" w:rsidRPr="00B77F14">
        <w:rPr>
          <w:rFonts w:ascii="Times New Roman" w:eastAsia="Times New Roman" w:hAnsi="Times New Roman" w:cs="Times New Roman"/>
          <w:color w:val="000000" w:themeColor="text1"/>
          <w:sz w:val="24"/>
          <w:szCs w:val="24"/>
        </w:rPr>
        <w:t xml:space="preserve">arnings </w:t>
      </w:r>
      <w:r w:rsidR="00AB5E78" w:rsidRPr="00B77F14">
        <w:rPr>
          <w:rFonts w:ascii="Times New Roman" w:eastAsia="Times New Roman" w:hAnsi="Times New Roman" w:cs="Times New Roman"/>
          <w:color w:val="000000" w:themeColor="text1"/>
          <w:sz w:val="24"/>
          <w:szCs w:val="24"/>
        </w:rPr>
        <w:t>rose</w:t>
      </w:r>
      <w:r w:rsidR="0054197D" w:rsidRPr="00B77F14">
        <w:rPr>
          <w:rFonts w:ascii="Times New Roman" w:eastAsia="Times New Roman" w:hAnsi="Times New Roman" w:cs="Times New Roman"/>
          <w:color w:val="000000" w:themeColor="text1"/>
          <w:sz w:val="24"/>
          <w:szCs w:val="24"/>
        </w:rPr>
        <w:t xml:space="preserve"> 9% to $5.0 billion, i</w:t>
      </w:r>
      <w:r w:rsidR="00E107AF" w:rsidRPr="00B77F14">
        <w:rPr>
          <w:rFonts w:ascii="Times New Roman" w:eastAsia="Times New Roman" w:hAnsi="Times New Roman" w:cs="Times New Roman"/>
          <w:color w:val="000000" w:themeColor="text1"/>
          <w:sz w:val="24"/>
          <w:szCs w:val="24"/>
        </w:rPr>
        <w:t xml:space="preserve">ncluding Double-Digit Growth Rates in </w:t>
      </w:r>
      <w:r w:rsidR="0054197D" w:rsidRPr="00B77F14">
        <w:rPr>
          <w:rFonts w:ascii="Times New Roman" w:eastAsia="Times New Roman" w:hAnsi="Times New Roman" w:cs="Times New Roman"/>
          <w:color w:val="000000" w:themeColor="text1"/>
          <w:sz w:val="24"/>
          <w:szCs w:val="24"/>
        </w:rPr>
        <w:t xml:space="preserve">each optimum business. </w:t>
      </w:r>
      <w:r w:rsidR="00E107AF" w:rsidRPr="00B77F14">
        <w:rPr>
          <w:rFonts w:ascii="Times New Roman" w:eastAsia="Times New Roman" w:hAnsi="Times New Roman" w:cs="Times New Roman"/>
          <w:color w:val="000000" w:themeColor="text1"/>
          <w:sz w:val="24"/>
          <w:szCs w:val="24"/>
        </w:rPr>
        <w:t xml:space="preserve">Net </w:t>
      </w:r>
      <w:r w:rsidR="0054197D" w:rsidRPr="00B77F14">
        <w:rPr>
          <w:rFonts w:ascii="Times New Roman" w:eastAsia="Times New Roman" w:hAnsi="Times New Roman" w:cs="Times New Roman"/>
          <w:color w:val="000000" w:themeColor="text1"/>
          <w:sz w:val="24"/>
          <w:szCs w:val="24"/>
        </w:rPr>
        <w:t>EPS</w:t>
      </w:r>
      <w:r w:rsidR="00E107AF" w:rsidRPr="00B77F14">
        <w:rPr>
          <w:rFonts w:ascii="Times New Roman" w:eastAsia="Times New Roman" w:hAnsi="Times New Roman" w:cs="Times New Roman"/>
          <w:color w:val="000000" w:themeColor="text1"/>
          <w:sz w:val="24"/>
          <w:szCs w:val="24"/>
        </w:rPr>
        <w:t xml:space="preserve"> w</w:t>
      </w:r>
      <w:r w:rsidR="00AB5E78" w:rsidRPr="00B77F14">
        <w:rPr>
          <w:rFonts w:ascii="Times New Roman" w:eastAsia="Times New Roman" w:hAnsi="Times New Roman" w:cs="Times New Roman"/>
          <w:color w:val="000000" w:themeColor="text1"/>
          <w:sz w:val="24"/>
          <w:szCs w:val="24"/>
        </w:rPr>
        <w:t>as</w:t>
      </w:r>
      <w:r w:rsidR="0054197D" w:rsidRPr="00B77F14">
        <w:rPr>
          <w:rFonts w:ascii="Times New Roman" w:eastAsia="Times New Roman" w:hAnsi="Times New Roman" w:cs="Times New Roman"/>
          <w:color w:val="000000" w:themeColor="text1"/>
          <w:sz w:val="24"/>
          <w:szCs w:val="24"/>
        </w:rPr>
        <w:t xml:space="preserve"> $3.67; adjusted net EPS w</w:t>
      </w:r>
      <w:r w:rsidR="00AB5E78" w:rsidRPr="00B77F14">
        <w:rPr>
          <w:rFonts w:ascii="Times New Roman" w:eastAsia="Times New Roman" w:hAnsi="Times New Roman" w:cs="Times New Roman"/>
          <w:color w:val="000000" w:themeColor="text1"/>
          <w:sz w:val="24"/>
          <w:szCs w:val="24"/>
        </w:rPr>
        <w:t>as</w:t>
      </w:r>
      <w:r w:rsidR="0054197D" w:rsidRPr="00B77F14">
        <w:rPr>
          <w:rFonts w:ascii="Times New Roman" w:eastAsia="Times New Roman" w:hAnsi="Times New Roman" w:cs="Times New Roman"/>
          <w:color w:val="000000" w:themeColor="text1"/>
          <w:sz w:val="24"/>
          <w:szCs w:val="24"/>
        </w:rPr>
        <w:t xml:space="preserve"> $3.88, b</w:t>
      </w:r>
      <w:r w:rsidR="00E107AF" w:rsidRPr="00B77F14">
        <w:rPr>
          <w:rFonts w:ascii="Times New Roman" w:eastAsia="Times New Roman" w:hAnsi="Times New Roman" w:cs="Times New Roman"/>
          <w:color w:val="000000" w:themeColor="text1"/>
          <w:sz w:val="24"/>
          <w:szCs w:val="24"/>
        </w:rPr>
        <w:t xml:space="preserve">ringing </w:t>
      </w:r>
      <w:r w:rsidR="0054197D" w:rsidRPr="00B77F14">
        <w:rPr>
          <w:rFonts w:ascii="Times New Roman" w:eastAsia="Times New Roman" w:hAnsi="Times New Roman" w:cs="Times New Roman"/>
          <w:color w:val="000000" w:themeColor="text1"/>
          <w:sz w:val="24"/>
          <w:szCs w:val="24"/>
        </w:rPr>
        <w:t xml:space="preserve">year-to-date growth </w:t>
      </w:r>
      <w:r w:rsidR="00016227" w:rsidRPr="00B77F14">
        <w:rPr>
          <w:rFonts w:ascii="Times New Roman" w:eastAsia="Times New Roman" w:hAnsi="Times New Roman" w:cs="Times New Roman"/>
          <w:color w:val="000000" w:themeColor="text1"/>
          <w:sz w:val="24"/>
          <w:szCs w:val="24"/>
        </w:rPr>
        <w:t xml:space="preserve">to 17%. </w:t>
      </w:r>
      <w:r w:rsidR="0054197D" w:rsidRPr="00B77F14">
        <w:rPr>
          <w:rFonts w:ascii="Times New Roman" w:eastAsia="Times New Roman" w:hAnsi="Times New Roman" w:cs="Times New Roman"/>
          <w:color w:val="000000" w:themeColor="text1"/>
          <w:sz w:val="24"/>
          <w:szCs w:val="24"/>
        </w:rPr>
        <w:t xml:space="preserve">Operations </w:t>
      </w:r>
      <w:r w:rsidR="00E107AF" w:rsidRPr="00B77F14">
        <w:rPr>
          <w:rFonts w:ascii="Times New Roman" w:eastAsia="Times New Roman" w:hAnsi="Times New Roman" w:cs="Times New Roman"/>
          <w:color w:val="000000" w:themeColor="text1"/>
          <w:sz w:val="24"/>
          <w:szCs w:val="24"/>
        </w:rPr>
        <w:t>Cash Flows we</w:t>
      </w:r>
      <w:r w:rsidR="0054197D" w:rsidRPr="00B77F14">
        <w:rPr>
          <w:rFonts w:ascii="Times New Roman" w:eastAsia="Times New Roman" w:hAnsi="Times New Roman" w:cs="Times New Roman"/>
          <w:color w:val="000000" w:themeColor="text1"/>
          <w:sz w:val="24"/>
          <w:szCs w:val="24"/>
        </w:rPr>
        <w:t xml:space="preserve">re $3.2 Billion in the </w:t>
      </w:r>
      <w:r w:rsidR="00AB5E78" w:rsidRPr="00B77F14">
        <w:rPr>
          <w:rFonts w:ascii="Times New Roman" w:eastAsia="Times New Roman" w:hAnsi="Times New Roman" w:cs="Times New Roman"/>
          <w:color w:val="000000" w:themeColor="text1"/>
          <w:sz w:val="24"/>
          <w:szCs w:val="24"/>
        </w:rPr>
        <w:t>q</w:t>
      </w:r>
      <w:r w:rsidR="0054197D" w:rsidRPr="00B77F14">
        <w:rPr>
          <w:rFonts w:ascii="Times New Roman" w:eastAsia="Times New Roman" w:hAnsi="Times New Roman" w:cs="Times New Roman"/>
          <w:color w:val="000000" w:themeColor="text1"/>
          <w:sz w:val="24"/>
          <w:szCs w:val="24"/>
        </w:rPr>
        <w:t>uarter, b</w:t>
      </w:r>
      <w:r w:rsidR="00E107AF" w:rsidRPr="00B77F14">
        <w:rPr>
          <w:rFonts w:ascii="Times New Roman" w:eastAsia="Times New Roman" w:hAnsi="Times New Roman" w:cs="Times New Roman"/>
          <w:color w:val="000000" w:themeColor="text1"/>
          <w:sz w:val="24"/>
          <w:szCs w:val="24"/>
        </w:rPr>
        <w:t xml:space="preserve">ringing </w:t>
      </w:r>
      <w:r w:rsidR="0054197D" w:rsidRPr="00B77F14">
        <w:rPr>
          <w:rFonts w:ascii="Times New Roman" w:eastAsia="Times New Roman" w:hAnsi="Times New Roman" w:cs="Times New Roman"/>
          <w:color w:val="000000" w:themeColor="text1"/>
          <w:sz w:val="24"/>
          <w:szCs w:val="24"/>
        </w:rPr>
        <w:t>year-to-</w:t>
      </w:r>
      <w:r w:rsidR="00E24C7A">
        <w:rPr>
          <w:rFonts w:ascii="Times New Roman" w:eastAsia="Times New Roman" w:hAnsi="Times New Roman" w:cs="Times New Roman"/>
          <w:color w:val="000000" w:themeColor="text1"/>
          <w:sz w:val="24"/>
          <w:szCs w:val="24"/>
        </w:rPr>
        <w:t xml:space="preserve"> date operations</w:t>
      </w:r>
      <w:r w:rsidR="0054197D" w:rsidRPr="00B77F14">
        <w:rPr>
          <w:rFonts w:ascii="Times New Roman" w:eastAsia="Times New Roman" w:hAnsi="Times New Roman" w:cs="Times New Roman"/>
          <w:color w:val="000000" w:themeColor="text1"/>
          <w:sz w:val="24"/>
          <w:szCs w:val="24"/>
        </w:rPr>
        <w:t xml:space="preserve"> Cash Flows to $12.3 Billion or 1.2 times </w:t>
      </w:r>
      <w:r w:rsidR="00E107AF" w:rsidRPr="00B77F14">
        <w:rPr>
          <w:rFonts w:ascii="Times New Roman" w:eastAsia="Times New Roman" w:hAnsi="Times New Roman" w:cs="Times New Roman"/>
          <w:color w:val="000000" w:themeColor="text1"/>
          <w:sz w:val="24"/>
          <w:szCs w:val="24"/>
        </w:rPr>
        <w:t>Net Income</w:t>
      </w:r>
      <w:r w:rsidR="0054197D" w:rsidRPr="00B77F14">
        <w:rPr>
          <w:rFonts w:ascii="Times New Roman" w:eastAsia="Times New Roman" w:hAnsi="Times New Roman" w:cs="Times New Roman"/>
          <w:color w:val="000000" w:themeColor="text1"/>
          <w:sz w:val="24"/>
          <w:szCs w:val="24"/>
        </w:rPr>
        <w:t xml:space="preserve">. </w:t>
      </w:r>
      <w:r w:rsidR="000C5020" w:rsidRPr="00B77F14">
        <w:rPr>
          <w:rFonts w:ascii="Times New Roman" w:eastAsia="Times New Roman" w:hAnsi="Times New Roman" w:cs="Times New Roman"/>
          <w:color w:val="000000" w:themeColor="text1"/>
          <w:sz w:val="24"/>
          <w:szCs w:val="24"/>
        </w:rPr>
        <w:t xml:space="preserve">Based on </w:t>
      </w:r>
      <w:r w:rsidR="00AB5E78" w:rsidRPr="00B77F14">
        <w:rPr>
          <w:rFonts w:ascii="Times New Roman" w:eastAsia="Times New Roman" w:hAnsi="Times New Roman" w:cs="Times New Roman"/>
          <w:color w:val="000000" w:themeColor="text1"/>
          <w:sz w:val="24"/>
          <w:szCs w:val="24"/>
        </w:rPr>
        <w:t>reliable</w:t>
      </w:r>
      <w:r w:rsidR="000C5020" w:rsidRPr="00B77F14">
        <w:rPr>
          <w:rFonts w:ascii="Times New Roman" w:eastAsia="Times New Roman" w:hAnsi="Times New Roman" w:cs="Times New Roman"/>
          <w:color w:val="000000" w:themeColor="text1"/>
          <w:sz w:val="24"/>
          <w:szCs w:val="24"/>
        </w:rPr>
        <w:t xml:space="preserve"> third</w:t>
      </w:r>
      <w:r w:rsidR="00AB5E78" w:rsidRPr="00B77F14">
        <w:rPr>
          <w:rFonts w:ascii="Times New Roman" w:eastAsia="Times New Roman" w:hAnsi="Times New Roman" w:cs="Times New Roman"/>
          <w:color w:val="000000" w:themeColor="text1"/>
          <w:sz w:val="24"/>
          <w:szCs w:val="24"/>
        </w:rPr>
        <w:t>-</w:t>
      </w:r>
      <w:r w:rsidR="000C5020" w:rsidRPr="00B77F14">
        <w:rPr>
          <w:rFonts w:ascii="Times New Roman" w:eastAsia="Times New Roman" w:hAnsi="Times New Roman" w:cs="Times New Roman"/>
          <w:color w:val="000000" w:themeColor="text1"/>
          <w:sz w:val="24"/>
          <w:szCs w:val="24"/>
        </w:rPr>
        <w:t>quarter 2019 results and its positive view for the rest of the year, the Company increased its full</w:t>
      </w:r>
      <w:r w:rsidR="00AB5E78" w:rsidRPr="00B77F14">
        <w:rPr>
          <w:rFonts w:ascii="Times New Roman" w:eastAsia="Times New Roman" w:hAnsi="Times New Roman" w:cs="Times New Roman"/>
          <w:color w:val="000000" w:themeColor="text1"/>
          <w:sz w:val="24"/>
          <w:szCs w:val="24"/>
        </w:rPr>
        <w:t>-</w:t>
      </w:r>
      <w:r w:rsidR="000C5020" w:rsidRPr="00B77F14">
        <w:rPr>
          <w:rFonts w:ascii="Times New Roman" w:eastAsia="Times New Roman" w:hAnsi="Times New Roman" w:cs="Times New Roman"/>
          <w:color w:val="000000" w:themeColor="text1"/>
          <w:sz w:val="24"/>
          <w:szCs w:val="24"/>
        </w:rPr>
        <w:t xml:space="preserve">year net earnings outlook to $14.15 to $14.25 per share and adjusted </w:t>
      </w:r>
      <w:r w:rsidR="000C5020" w:rsidRPr="00B77F14">
        <w:rPr>
          <w:rFonts w:ascii="Times New Roman" w:eastAsia="Times New Roman" w:hAnsi="Times New Roman" w:cs="Times New Roman"/>
          <w:color w:val="000000" w:themeColor="text1"/>
          <w:sz w:val="24"/>
          <w:szCs w:val="24"/>
        </w:rPr>
        <w:lastRenderedPageBreak/>
        <w:t>net earnings to a range of $14.90 to $15.00 per share, both increasing $0.15 per share at the mid-point.</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3: </w:t>
      </w:r>
    </w:p>
    <w:p w:rsidR="000F3014" w:rsidRPr="00B77F14" w:rsidRDefault="001D025B"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Typically, the equity and debt markets responded to the FED activity news by increasing the prices of the assets during the early stages. The comparative business environment health, supply</w:t>
      </w:r>
      <w:r w:rsidR="00AB5E78" w:rsidRPr="00B77F14">
        <w:rPr>
          <w:rFonts w:ascii="Times New Roman" w:eastAsia="Times New Roman" w:hAnsi="Times New Roman" w:cs="Times New Roman"/>
          <w:color w:val="000000" w:themeColor="text1"/>
          <w:sz w:val="24"/>
          <w:szCs w:val="24"/>
        </w:rPr>
        <w:t>,</w:t>
      </w:r>
      <w:r w:rsidRPr="00B77F14">
        <w:rPr>
          <w:rFonts w:ascii="Times New Roman" w:eastAsia="Times New Roman" w:hAnsi="Times New Roman" w:cs="Times New Roman"/>
          <w:color w:val="000000" w:themeColor="text1"/>
          <w:sz w:val="24"/>
          <w:szCs w:val="24"/>
        </w:rPr>
        <w:t xml:space="preserve"> and demand, preferences of the investor, as well as other macroeconomic factors, determine the reasonable prices of the market. The Federal Reserve manipulates signals of price in three critical ways when it starts entering the market to buy financial assets: reduced buying money units power, lower rates of interest, and higher demand for assets. Rather than prices of stock acting as precise reflections of investor demand and company valuations, manipulated </w:t>
      </w:r>
      <w:r w:rsidR="00AB5E78" w:rsidRPr="00B77F14">
        <w:rPr>
          <w:rFonts w:ascii="Times New Roman" w:eastAsia="Times New Roman" w:hAnsi="Times New Roman" w:cs="Times New Roman"/>
          <w:color w:val="000000" w:themeColor="text1"/>
          <w:sz w:val="24"/>
          <w:szCs w:val="24"/>
        </w:rPr>
        <w:t>cost</w:t>
      </w:r>
      <w:r w:rsidRPr="00B77F14">
        <w:rPr>
          <w:rFonts w:ascii="Times New Roman" w:eastAsia="Times New Roman" w:hAnsi="Times New Roman" w:cs="Times New Roman"/>
          <w:color w:val="000000" w:themeColor="text1"/>
          <w:sz w:val="24"/>
          <w:szCs w:val="24"/>
        </w:rPr>
        <w:t>s compel the players of markets to alter and adjust their approaches to go after stocks which expand and grow without their major firms being more appreciated.</w:t>
      </w:r>
    </w:p>
    <w:p w:rsidR="000F3014" w:rsidRPr="00B77F14" w:rsidRDefault="000F3014" w:rsidP="00E21064">
      <w:pPr>
        <w:spacing w:after="0" w:line="480" w:lineRule="auto"/>
        <w:rPr>
          <w:rFonts w:ascii="Times New Roman" w:eastAsia="Times New Roman" w:hAnsi="Times New Roman" w:cs="Times New Roman"/>
          <w:b/>
          <w:color w:val="000000" w:themeColor="text1"/>
          <w:sz w:val="24"/>
          <w:szCs w:val="24"/>
        </w:rPr>
      </w:pPr>
      <w:r w:rsidRPr="00B77F14">
        <w:rPr>
          <w:rFonts w:ascii="Times New Roman" w:eastAsia="Times New Roman" w:hAnsi="Times New Roman" w:cs="Times New Roman"/>
          <w:b/>
          <w:color w:val="000000" w:themeColor="text1"/>
          <w:sz w:val="24"/>
          <w:szCs w:val="24"/>
        </w:rPr>
        <w:t xml:space="preserve">Question 4: </w:t>
      </w:r>
    </w:p>
    <w:p w:rsidR="000F3014" w:rsidRPr="00B77F14" w:rsidRDefault="001D025B" w:rsidP="00E21064">
      <w:pPr>
        <w:spacing w:after="0" w:line="480" w:lineRule="auto"/>
        <w:rPr>
          <w:rFonts w:ascii="Times New Roman" w:eastAsia="Times New Roman" w:hAnsi="Times New Roman" w:cs="Times New Roman"/>
          <w:color w:val="000000" w:themeColor="text1"/>
          <w:sz w:val="24"/>
          <w:szCs w:val="24"/>
        </w:rPr>
      </w:pPr>
      <w:r w:rsidRPr="00B77F14">
        <w:rPr>
          <w:rFonts w:ascii="Times New Roman" w:eastAsia="Times New Roman" w:hAnsi="Times New Roman" w:cs="Times New Roman"/>
          <w:color w:val="000000" w:themeColor="text1"/>
          <w:sz w:val="24"/>
          <w:szCs w:val="24"/>
        </w:rPr>
        <w:t xml:space="preserve">Temporarily, the China-United States tensions have eased. The fiscal committees from the two nations are working around the clock to reduce the frictions. But the administration of Donald Trump is still exercising sticks against China. Secondly, the threats of another one-hundred and fifty billion U.S Dollars in rates are directed at the policies of China regarding the Made in China 2025 Plan, the technology transfers, and intellectual properties. It is ultimately about stopping China from inventing its ways up the chain of value to prosperities. The formal China-US competition confirmation came as no surprise, for it is founded in the long-infusing uncertainties about China predominant in the United States strategic innovation. China should remain attentive against the scapegoating of the U.S to distract attention from national challenges. The two nations should do their best in clarifying their strategic intentions even though China-US </w:t>
      </w:r>
      <w:r w:rsidRPr="00B77F14">
        <w:rPr>
          <w:rFonts w:ascii="Times New Roman" w:eastAsia="Times New Roman" w:hAnsi="Times New Roman" w:cs="Times New Roman"/>
          <w:color w:val="000000" w:themeColor="text1"/>
          <w:sz w:val="24"/>
          <w:szCs w:val="24"/>
        </w:rPr>
        <w:lastRenderedPageBreak/>
        <w:t>relations enter a new phase in the modern era. Always, China has sought to strengthen its two-sided relationships.</w:t>
      </w:r>
    </w:p>
    <w:p w:rsidR="000F3014" w:rsidRPr="00B77F14" w:rsidRDefault="000F07C0" w:rsidP="00E21064">
      <w:pPr>
        <w:spacing w:line="480" w:lineRule="auto"/>
        <w:rPr>
          <w:rFonts w:ascii="Times New Roman" w:hAnsi="Times New Roman" w:cs="Times New Roman"/>
          <w:color w:val="000000" w:themeColor="text1"/>
          <w:sz w:val="24"/>
          <w:szCs w:val="24"/>
        </w:rPr>
      </w:pPr>
      <w:hyperlink r:id="rId6" w:history="1">
        <w:r w:rsidR="008F3883" w:rsidRPr="00B77F14">
          <w:rPr>
            <w:rStyle w:val="Hyperlink"/>
            <w:rFonts w:ascii="Times New Roman" w:hAnsi="Times New Roman" w:cs="Times New Roman"/>
            <w:color w:val="000000" w:themeColor="text1"/>
            <w:sz w:val="24"/>
            <w:szCs w:val="24"/>
          </w:rPr>
          <w:t>https://www.investors.com/news/sp-500-earnings-q3-first-decline-3-years/</w:t>
        </w:r>
      </w:hyperlink>
    </w:p>
    <w:p w:rsidR="00100912" w:rsidRDefault="009F55BA" w:rsidP="00E21064">
      <w:pPr>
        <w:spacing w:line="480" w:lineRule="auto"/>
        <w:rPr>
          <w:rFonts w:ascii="Times New Roman" w:hAnsi="Times New Roman" w:cs="Times New Roman"/>
          <w:color w:val="000000" w:themeColor="text1"/>
          <w:sz w:val="24"/>
          <w:szCs w:val="24"/>
        </w:rPr>
      </w:pPr>
      <w:r w:rsidRPr="00B77F14">
        <w:rPr>
          <w:rFonts w:ascii="Times New Roman" w:hAnsi="Times New Roman" w:cs="Times New Roman"/>
          <w:color w:val="000000" w:themeColor="text1"/>
          <w:sz w:val="24"/>
          <w:szCs w:val="24"/>
        </w:rPr>
        <w:t xml:space="preserve">It is still probable that the quarter shall end up after all the firms have reported that they shall realize flat to positive growth of </w:t>
      </w:r>
      <w:bookmarkStart w:id="0" w:name="_GoBack"/>
      <w:r w:rsidRPr="00B77F14">
        <w:rPr>
          <w:rFonts w:ascii="Times New Roman" w:hAnsi="Times New Roman" w:cs="Times New Roman"/>
          <w:color w:val="000000" w:themeColor="text1"/>
          <w:sz w:val="24"/>
          <w:szCs w:val="24"/>
        </w:rPr>
        <w:t xml:space="preserve">earnings </w:t>
      </w:r>
      <w:bookmarkEnd w:id="0"/>
      <w:r w:rsidRPr="00B77F14">
        <w:rPr>
          <w:rFonts w:ascii="Times New Roman" w:hAnsi="Times New Roman" w:cs="Times New Roman"/>
          <w:color w:val="000000" w:themeColor="text1"/>
          <w:sz w:val="24"/>
          <w:szCs w:val="24"/>
        </w:rPr>
        <w:t xml:space="preserve">while expectations of earning are for a decrease of 3.1%. </w:t>
      </w:r>
      <w:r w:rsidR="009B6808" w:rsidRPr="00B77F14">
        <w:rPr>
          <w:rFonts w:ascii="Times New Roman" w:hAnsi="Times New Roman" w:cs="Times New Roman"/>
          <w:color w:val="000000" w:themeColor="text1"/>
          <w:sz w:val="24"/>
          <w:szCs w:val="24"/>
        </w:rPr>
        <w:t xml:space="preserve"> Of twenty-three companies in the S&amp;P500</w:t>
      </w:r>
      <w:r w:rsidR="00AB5E78" w:rsidRPr="00B77F14">
        <w:rPr>
          <w:rFonts w:ascii="Times New Roman" w:hAnsi="Times New Roman" w:cs="Times New Roman"/>
          <w:color w:val="000000" w:themeColor="text1"/>
          <w:sz w:val="24"/>
          <w:szCs w:val="24"/>
        </w:rPr>
        <w:t>,</w:t>
      </w:r>
      <w:r w:rsidR="009B6808" w:rsidRPr="00B77F14">
        <w:rPr>
          <w:rFonts w:ascii="Times New Roman" w:hAnsi="Times New Roman" w:cs="Times New Roman"/>
          <w:color w:val="000000" w:themeColor="text1"/>
          <w:sz w:val="24"/>
          <w:szCs w:val="24"/>
        </w:rPr>
        <w:t xml:space="preserve"> which have reported quarter </w:t>
      </w:r>
      <w:r w:rsidR="00AB5E78" w:rsidRPr="00B77F14">
        <w:rPr>
          <w:rFonts w:ascii="Times New Roman" w:hAnsi="Times New Roman" w:cs="Times New Roman"/>
          <w:color w:val="000000" w:themeColor="text1"/>
          <w:sz w:val="24"/>
          <w:szCs w:val="24"/>
        </w:rPr>
        <w:t>three</w:t>
      </w:r>
      <w:r w:rsidR="009B6808" w:rsidRPr="00B77F14">
        <w:rPr>
          <w:rFonts w:ascii="Times New Roman" w:hAnsi="Times New Roman" w:cs="Times New Roman"/>
          <w:color w:val="000000" w:themeColor="text1"/>
          <w:sz w:val="24"/>
          <w:szCs w:val="24"/>
        </w:rPr>
        <w:t xml:space="preserve"> so far, just 4% missed</w:t>
      </w:r>
      <w:r w:rsidR="00AB5E78" w:rsidRPr="00B77F14">
        <w:rPr>
          <w:rFonts w:ascii="Times New Roman" w:hAnsi="Times New Roman" w:cs="Times New Roman"/>
          <w:color w:val="000000" w:themeColor="text1"/>
          <w:sz w:val="24"/>
          <w:szCs w:val="24"/>
        </w:rPr>
        <w:t>,</w:t>
      </w:r>
      <w:r w:rsidR="009B6808" w:rsidRPr="00B77F14">
        <w:rPr>
          <w:rFonts w:ascii="Times New Roman" w:hAnsi="Times New Roman" w:cs="Times New Roman"/>
          <w:color w:val="000000" w:themeColor="text1"/>
          <w:sz w:val="24"/>
          <w:szCs w:val="24"/>
        </w:rPr>
        <w:t xml:space="preserve"> and 91% have beat far better than the historical averages. A typical quarter since </w:t>
      </w:r>
      <w:r w:rsidR="009C28D0" w:rsidRPr="00B77F14">
        <w:rPr>
          <w:rFonts w:ascii="Times New Roman" w:hAnsi="Times New Roman" w:cs="Times New Roman"/>
          <w:color w:val="000000" w:themeColor="text1"/>
          <w:sz w:val="24"/>
          <w:szCs w:val="24"/>
        </w:rPr>
        <w:t xml:space="preserve">1994 has </w:t>
      </w:r>
      <w:r w:rsidR="00AB5E78" w:rsidRPr="00B77F14">
        <w:rPr>
          <w:rFonts w:ascii="Times New Roman" w:hAnsi="Times New Roman" w:cs="Times New Roman"/>
          <w:color w:val="000000" w:themeColor="text1"/>
          <w:sz w:val="24"/>
          <w:szCs w:val="24"/>
        </w:rPr>
        <w:t>sta</w:t>
      </w:r>
      <w:r w:rsidR="009C28D0" w:rsidRPr="00B77F14">
        <w:rPr>
          <w:rFonts w:ascii="Times New Roman" w:hAnsi="Times New Roman" w:cs="Times New Roman"/>
          <w:color w:val="000000" w:themeColor="text1"/>
          <w:sz w:val="24"/>
          <w:szCs w:val="24"/>
        </w:rPr>
        <w:t>ted 65% of firms meet and even exceed approximates and only 20% fail to beat estimates. 18% of companies missed estimates</w:t>
      </w:r>
      <w:r w:rsidR="00AB5E78" w:rsidRPr="00B77F14">
        <w:rPr>
          <w:rFonts w:ascii="Times New Roman" w:hAnsi="Times New Roman" w:cs="Times New Roman"/>
          <w:color w:val="000000" w:themeColor="text1"/>
          <w:sz w:val="24"/>
          <w:szCs w:val="24"/>
        </w:rPr>
        <w:t>,</w:t>
      </w:r>
      <w:r w:rsidR="009C28D0" w:rsidRPr="00B77F14">
        <w:rPr>
          <w:rFonts w:ascii="Times New Roman" w:hAnsi="Times New Roman" w:cs="Times New Roman"/>
          <w:color w:val="000000" w:themeColor="text1"/>
          <w:sz w:val="24"/>
          <w:szCs w:val="24"/>
        </w:rPr>
        <w:t xml:space="preserve"> and 74% of the organizations meet and even exceed </w:t>
      </w:r>
      <w:r w:rsidR="00AB5E78" w:rsidRPr="00B77F14">
        <w:rPr>
          <w:rFonts w:ascii="Times New Roman" w:hAnsi="Times New Roman" w:cs="Times New Roman"/>
          <w:color w:val="000000" w:themeColor="text1"/>
          <w:sz w:val="24"/>
          <w:szCs w:val="24"/>
        </w:rPr>
        <w:t>forecast</w:t>
      </w:r>
      <w:r w:rsidR="009C28D0" w:rsidRPr="00B77F14">
        <w:rPr>
          <w:rFonts w:ascii="Times New Roman" w:hAnsi="Times New Roman" w:cs="Times New Roman"/>
          <w:color w:val="000000" w:themeColor="text1"/>
          <w:sz w:val="24"/>
          <w:szCs w:val="24"/>
        </w:rPr>
        <w:t xml:space="preserve">s over the last four quarters. </w:t>
      </w: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Default="00782E3D" w:rsidP="00E21064">
      <w:pPr>
        <w:spacing w:line="480" w:lineRule="auto"/>
        <w:rPr>
          <w:rFonts w:ascii="Times New Roman" w:hAnsi="Times New Roman" w:cs="Times New Roman"/>
          <w:color w:val="000000" w:themeColor="text1"/>
          <w:sz w:val="24"/>
          <w:szCs w:val="24"/>
        </w:rPr>
      </w:pPr>
    </w:p>
    <w:p w:rsidR="00782E3D" w:rsidRPr="00B77F14" w:rsidRDefault="00782E3D" w:rsidP="00E21064">
      <w:pPr>
        <w:spacing w:line="480" w:lineRule="auto"/>
        <w:rPr>
          <w:rFonts w:ascii="Times New Roman" w:hAnsi="Times New Roman" w:cs="Times New Roman"/>
          <w:color w:val="000000" w:themeColor="text1"/>
          <w:sz w:val="24"/>
          <w:szCs w:val="24"/>
        </w:rPr>
      </w:pPr>
    </w:p>
    <w:p w:rsidR="00EE6EA3" w:rsidRPr="00B77F14" w:rsidRDefault="00782E3D" w:rsidP="000E216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w:t>
      </w:r>
    </w:p>
    <w:p w:rsidR="008F3883" w:rsidRPr="00B77F14" w:rsidRDefault="00EE6EA3" w:rsidP="00E21064">
      <w:pPr>
        <w:spacing w:line="480" w:lineRule="auto"/>
        <w:rPr>
          <w:rFonts w:ascii="Times New Roman" w:hAnsi="Times New Roman" w:cs="Times New Roman"/>
          <w:color w:val="000000" w:themeColor="text1"/>
          <w:sz w:val="24"/>
          <w:szCs w:val="24"/>
        </w:rPr>
      </w:pPr>
      <w:r w:rsidRPr="00B77F14">
        <w:rPr>
          <w:rFonts w:ascii="Times New Roman" w:hAnsi="Times New Roman" w:cs="Times New Roman"/>
          <w:color w:val="000000" w:themeColor="text1"/>
          <w:sz w:val="24"/>
          <w:szCs w:val="24"/>
        </w:rPr>
        <w:t>https://www.investors.com/news/sp-500-earnings-q3-first-decline-3-years/</w:t>
      </w:r>
    </w:p>
    <w:sectPr w:rsidR="008F3883" w:rsidRPr="00B77F14" w:rsidSect="00782E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629" w:rsidRDefault="00462629" w:rsidP="00DC034E">
      <w:pPr>
        <w:spacing w:after="0" w:line="240" w:lineRule="auto"/>
      </w:pPr>
      <w:r>
        <w:separator/>
      </w:r>
    </w:p>
  </w:endnote>
  <w:endnote w:type="continuationSeparator" w:id="1">
    <w:p w:rsidR="00462629" w:rsidRDefault="00462629" w:rsidP="00DC0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629" w:rsidRDefault="00462629" w:rsidP="00DC034E">
      <w:pPr>
        <w:spacing w:after="0" w:line="240" w:lineRule="auto"/>
      </w:pPr>
      <w:r>
        <w:separator/>
      </w:r>
    </w:p>
  </w:footnote>
  <w:footnote w:type="continuationSeparator" w:id="1">
    <w:p w:rsidR="00462629" w:rsidRDefault="00462629" w:rsidP="00DC03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3030"/>
      <w:docPartObj>
        <w:docPartGallery w:val="Page Numbers (Top of Page)"/>
        <w:docPartUnique/>
      </w:docPartObj>
    </w:sdtPr>
    <w:sdtContent>
      <w:p w:rsidR="00FF33C3" w:rsidRPr="00782E3D" w:rsidRDefault="00782E3D" w:rsidP="00782E3D">
        <w:pPr>
          <w:pStyle w:val="Header"/>
          <w:tabs>
            <w:tab w:val="right" w:pos="9360"/>
          </w:tabs>
          <w:rPr>
            <w:rFonts w:ascii="Times New Roman" w:hAnsi="Times New Roman" w:cs="Times New Roman"/>
            <w:sz w:val="24"/>
            <w:szCs w:val="24"/>
          </w:rPr>
        </w:pPr>
        <w:r w:rsidRPr="00782E3D">
          <w:rPr>
            <w:rFonts w:ascii="Times New Roman" w:hAnsi="Times New Roman" w:cs="Times New Roman"/>
            <w:sz w:val="24"/>
            <w:szCs w:val="24"/>
          </w:rPr>
          <w:t>BUSINESS CLASS</w:t>
        </w:r>
        <w:r w:rsidRPr="00782E3D">
          <w:rPr>
            <w:rFonts w:ascii="Times New Roman" w:hAnsi="Times New Roman" w:cs="Times New Roman"/>
            <w:sz w:val="24"/>
            <w:szCs w:val="24"/>
          </w:rPr>
          <w:tab/>
        </w:r>
        <w:r w:rsidRPr="00782E3D">
          <w:rPr>
            <w:rFonts w:ascii="Times New Roman" w:hAnsi="Times New Roman" w:cs="Times New Roman"/>
            <w:sz w:val="24"/>
            <w:szCs w:val="24"/>
          </w:rPr>
          <w:tab/>
        </w:r>
        <w:r w:rsidRPr="00782E3D">
          <w:rPr>
            <w:rFonts w:ascii="Times New Roman" w:hAnsi="Times New Roman" w:cs="Times New Roman"/>
            <w:sz w:val="24"/>
            <w:szCs w:val="24"/>
          </w:rPr>
          <w:tab/>
        </w:r>
        <w:r w:rsidRPr="00782E3D">
          <w:rPr>
            <w:rFonts w:ascii="Times New Roman" w:hAnsi="Times New Roman" w:cs="Times New Roman"/>
            <w:sz w:val="24"/>
            <w:szCs w:val="24"/>
          </w:rPr>
          <w:fldChar w:fldCharType="begin"/>
        </w:r>
        <w:r w:rsidRPr="00782E3D">
          <w:rPr>
            <w:rFonts w:ascii="Times New Roman" w:hAnsi="Times New Roman" w:cs="Times New Roman"/>
            <w:sz w:val="24"/>
            <w:szCs w:val="24"/>
          </w:rPr>
          <w:instrText xml:space="preserve"> PAGE   \* MERGEFORMAT </w:instrText>
        </w:r>
        <w:r w:rsidRPr="00782E3D">
          <w:rPr>
            <w:rFonts w:ascii="Times New Roman" w:hAnsi="Times New Roman" w:cs="Times New Roman"/>
            <w:sz w:val="24"/>
            <w:szCs w:val="24"/>
          </w:rPr>
          <w:fldChar w:fldCharType="separate"/>
        </w:r>
        <w:r>
          <w:rPr>
            <w:rFonts w:ascii="Times New Roman" w:hAnsi="Times New Roman" w:cs="Times New Roman"/>
            <w:noProof/>
            <w:sz w:val="24"/>
            <w:szCs w:val="24"/>
          </w:rPr>
          <w:t>2</w:t>
        </w:r>
        <w:r w:rsidRPr="00782E3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E3D" w:rsidRPr="00782E3D" w:rsidRDefault="00782E3D" w:rsidP="00782E3D">
    <w:pPr>
      <w:pStyle w:val="Header"/>
      <w:jc w:val="right"/>
      <w:rPr>
        <w:rFonts w:ascii="Times New Roman" w:hAnsi="Times New Roman" w:cs="Times New Roman"/>
        <w:sz w:val="24"/>
        <w:szCs w:val="24"/>
      </w:rPr>
    </w:pPr>
    <w:r w:rsidRPr="00782E3D">
      <w:rPr>
        <w:rFonts w:ascii="Times New Roman" w:hAnsi="Times New Roman" w:cs="Times New Roman"/>
        <w:sz w:val="24"/>
        <w:szCs w:val="24"/>
      </w:rPr>
      <w:t xml:space="preserve">Running head: BUSINESS CLASS </w:t>
    </w:r>
    <w:r w:rsidRPr="00782E3D">
      <w:rPr>
        <w:rFonts w:ascii="Times New Roman" w:hAnsi="Times New Roman" w:cs="Times New Roman"/>
        <w:sz w:val="24"/>
        <w:szCs w:val="24"/>
      </w:rPr>
      <w:tab/>
    </w:r>
    <w:r w:rsidRPr="00782E3D">
      <w:rPr>
        <w:rFonts w:ascii="Times New Roman" w:hAnsi="Times New Roman" w:cs="Times New Roman"/>
        <w:sz w:val="24"/>
        <w:szCs w:val="24"/>
      </w:rPr>
      <w:tab/>
    </w:r>
    <w:sdt>
      <w:sdtPr>
        <w:rPr>
          <w:rFonts w:ascii="Times New Roman" w:hAnsi="Times New Roman" w:cs="Times New Roman"/>
          <w:sz w:val="24"/>
          <w:szCs w:val="24"/>
        </w:rPr>
        <w:id w:val="932990"/>
        <w:docPartObj>
          <w:docPartGallery w:val="Page Numbers (Top of Page)"/>
          <w:docPartUnique/>
        </w:docPartObj>
      </w:sdtPr>
      <w:sdtContent>
        <w:r w:rsidRPr="00782E3D">
          <w:rPr>
            <w:rFonts w:ascii="Times New Roman" w:hAnsi="Times New Roman" w:cs="Times New Roman"/>
            <w:sz w:val="24"/>
            <w:szCs w:val="24"/>
          </w:rPr>
          <w:fldChar w:fldCharType="begin"/>
        </w:r>
        <w:r w:rsidRPr="00782E3D">
          <w:rPr>
            <w:rFonts w:ascii="Times New Roman" w:hAnsi="Times New Roman" w:cs="Times New Roman"/>
            <w:sz w:val="24"/>
            <w:szCs w:val="24"/>
          </w:rPr>
          <w:instrText xml:space="preserve"> PAGE   \* MERGEFORMAT </w:instrText>
        </w:r>
        <w:r w:rsidRPr="00782E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2E3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MwMzAwNjczNjc3NDBW0lEKTi0uzszPAykwrgUAWlLwpywAAAA="/>
  </w:docVars>
  <w:rsids>
    <w:rsidRoot w:val="000F3014"/>
    <w:rsid w:val="000015ED"/>
    <w:rsid w:val="00016227"/>
    <w:rsid w:val="000C5020"/>
    <w:rsid w:val="000D5D40"/>
    <w:rsid w:val="000E216A"/>
    <w:rsid w:val="000F07C0"/>
    <w:rsid w:val="000F3014"/>
    <w:rsid w:val="00100912"/>
    <w:rsid w:val="00175AFF"/>
    <w:rsid w:val="001D025B"/>
    <w:rsid w:val="002A4325"/>
    <w:rsid w:val="00462629"/>
    <w:rsid w:val="004D7F98"/>
    <w:rsid w:val="0054197D"/>
    <w:rsid w:val="00595618"/>
    <w:rsid w:val="005C1EDB"/>
    <w:rsid w:val="006A3A1F"/>
    <w:rsid w:val="006D279C"/>
    <w:rsid w:val="006F670E"/>
    <w:rsid w:val="00777A63"/>
    <w:rsid w:val="00782E3D"/>
    <w:rsid w:val="00816CB7"/>
    <w:rsid w:val="008476A6"/>
    <w:rsid w:val="0085052E"/>
    <w:rsid w:val="00864AB1"/>
    <w:rsid w:val="008F3883"/>
    <w:rsid w:val="00966849"/>
    <w:rsid w:val="009B6808"/>
    <w:rsid w:val="009C28D0"/>
    <w:rsid w:val="009F55BA"/>
    <w:rsid w:val="00A172D9"/>
    <w:rsid w:val="00AB5E78"/>
    <w:rsid w:val="00B11161"/>
    <w:rsid w:val="00B452B3"/>
    <w:rsid w:val="00B77F14"/>
    <w:rsid w:val="00BE5E7F"/>
    <w:rsid w:val="00D42A75"/>
    <w:rsid w:val="00DC034E"/>
    <w:rsid w:val="00E107AF"/>
    <w:rsid w:val="00E21064"/>
    <w:rsid w:val="00E24C7A"/>
    <w:rsid w:val="00EB7B68"/>
    <w:rsid w:val="00EE6EA3"/>
    <w:rsid w:val="00F408E9"/>
    <w:rsid w:val="00FF14B7"/>
    <w:rsid w:val="00FF33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1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883"/>
    <w:rPr>
      <w:color w:val="0000FF" w:themeColor="hyperlink"/>
      <w:u w:val="single"/>
    </w:rPr>
  </w:style>
  <w:style w:type="paragraph" w:styleId="Header">
    <w:name w:val="header"/>
    <w:basedOn w:val="Normal"/>
    <w:link w:val="HeaderChar"/>
    <w:uiPriority w:val="99"/>
    <w:unhideWhenUsed/>
    <w:rsid w:val="00DC0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34E"/>
  </w:style>
  <w:style w:type="paragraph" w:styleId="Footer">
    <w:name w:val="footer"/>
    <w:basedOn w:val="Normal"/>
    <w:link w:val="FooterChar"/>
    <w:uiPriority w:val="99"/>
    <w:unhideWhenUsed/>
    <w:rsid w:val="00DC0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2368382">
      <w:bodyDiv w:val="1"/>
      <w:marLeft w:val="0"/>
      <w:marRight w:val="0"/>
      <w:marTop w:val="0"/>
      <w:marBottom w:val="0"/>
      <w:divBdr>
        <w:top w:val="none" w:sz="0" w:space="0" w:color="auto"/>
        <w:left w:val="none" w:sz="0" w:space="0" w:color="auto"/>
        <w:bottom w:val="none" w:sz="0" w:space="0" w:color="auto"/>
        <w:right w:val="none" w:sz="0" w:space="0" w:color="auto"/>
      </w:divBdr>
      <w:divsChild>
        <w:div w:id="1374160864">
          <w:marLeft w:val="0"/>
          <w:marRight w:val="0"/>
          <w:marTop w:val="0"/>
          <w:marBottom w:val="0"/>
          <w:divBdr>
            <w:top w:val="none" w:sz="0" w:space="0" w:color="auto"/>
            <w:left w:val="none" w:sz="0" w:space="0" w:color="auto"/>
            <w:bottom w:val="none" w:sz="0" w:space="0" w:color="auto"/>
            <w:right w:val="none" w:sz="0" w:space="0" w:color="auto"/>
          </w:divBdr>
        </w:div>
      </w:divsChild>
    </w:div>
    <w:div w:id="1340159196">
      <w:bodyDiv w:val="1"/>
      <w:marLeft w:val="0"/>
      <w:marRight w:val="0"/>
      <w:marTop w:val="0"/>
      <w:marBottom w:val="0"/>
      <w:divBdr>
        <w:top w:val="none" w:sz="0" w:space="0" w:color="auto"/>
        <w:left w:val="none" w:sz="0" w:space="0" w:color="auto"/>
        <w:bottom w:val="none" w:sz="0" w:space="0" w:color="auto"/>
        <w:right w:val="none" w:sz="0" w:space="0" w:color="auto"/>
      </w:divBdr>
      <w:divsChild>
        <w:div w:id="1417362475">
          <w:marLeft w:val="0"/>
          <w:marRight w:val="0"/>
          <w:marTop w:val="0"/>
          <w:marBottom w:val="0"/>
          <w:divBdr>
            <w:top w:val="none" w:sz="0" w:space="0" w:color="auto"/>
            <w:left w:val="none" w:sz="0" w:space="0" w:color="auto"/>
            <w:bottom w:val="none" w:sz="0" w:space="0" w:color="auto"/>
            <w:right w:val="none" w:sz="0" w:space="0" w:color="auto"/>
          </w:divBdr>
          <w:divsChild>
            <w:div w:id="142915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rs.com/news/sp-500-earnings-q3-first-decline-3-years/"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2019-10-20T20:32:00Z</dcterms:created>
  <dcterms:modified xsi:type="dcterms:W3CDTF">2019-10-20T20:32:00Z</dcterms:modified>
</cp:coreProperties>
</file>