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80" w:rsidRDefault="00832580" w:rsidP="00832580">
      <w:pPr>
        <w:rPr>
          <w:b/>
          <w:bCs/>
        </w:rPr>
      </w:pPr>
      <w:bookmarkStart w:id="0" w:name="_GoBack"/>
      <w:bookmarkEnd w:id="0"/>
      <w:r>
        <w:rPr>
          <w:b/>
          <w:bCs/>
        </w:rPr>
        <w:t xml:space="preserve">Name:  </w:t>
      </w:r>
      <w:r>
        <w:rPr>
          <w:b/>
          <w:bCs/>
        </w:rPr>
        <w:softHyphen/>
      </w:r>
      <w:r>
        <w:rPr>
          <w:b/>
          <w:bCs/>
        </w:rPr>
        <w:softHyphen/>
      </w:r>
      <w:r>
        <w:rPr>
          <w:b/>
          <w:bCs/>
        </w:rPr>
        <w:softHyphen/>
        <w:t>__________________________________</w:t>
      </w:r>
      <w:r>
        <w:rPr>
          <w:b/>
          <w:bCs/>
        </w:rPr>
        <w:tab/>
      </w:r>
      <w:r>
        <w:rPr>
          <w:b/>
          <w:bCs/>
        </w:rPr>
        <w:tab/>
      </w:r>
      <w:r>
        <w:rPr>
          <w:b/>
          <w:bCs/>
        </w:rPr>
        <w:tab/>
        <w:t xml:space="preserve">Date:  ________________ </w:t>
      </w:r>
    </w:p>
    <w:p w:rsidR="00832580" w:rsidRDefault="00832580" w:rsidP="00832580">
      <w:pPr>
        <w:spacing w:after="0" w:line="240" w:lineRule="auto"/>
        <w:rPr>
          <w:b/>
          <w:bCs/>
        </w:rPr>
      </w:pPr>
      <w:r>
        <w:rPr>
          <w:b/>
          <w:bCs/>
        </w:rPr>
        <w:t xml:space="preserve">                                                                                 Keuka College</w:t>
      </w:r>
    </w:p>
    <w:p w:rsidR="00832580" w:rsidRDefault="00832580" w:rsidP="00832580">
      <w:pPr>
        <w:spacing w:after="0" w:line="240" w:lineRule="auto"/>
        <w:jc w:val="center"/>
        <w:rPr>
          <w:b/>
          <w:bCs/>
        </w:rPr>
      </w:pPr>
      <w:r>
        <w:rPr>
          <w:b/>
          <w:bCs/>
        </w:rPr>
        <w:t>Business Law – 202.01</w:t>
      </w:r>
    </w:p>
    <w:p w:rsidR="00832580" w:rsidRPr="00A52103" w:rsidRDefault="00832580" w:rsidP="00832580">
      <w:pPr>
        <w:spacing w:after="0" w:line="240" w:lineRule="auto"/>
        <w:jc w:val="center"/>
        <w:rPr>
          <w:b/>
          <w:bCs/>
        </w:rPr>
      </w:pPr>
      <w:r>
        <w:rPr>
          <w:b/>
          <w:bCs/>
        </w:rPr>
        <w:t>Test 3 (Chapters 10 - 13)</w:t>
      </w:r>
    </w:p>
    <w:p w:rsidR="00832580" w:rsidRDefault="00832580" w:rsidP="00832580">
      <w:pPr>
        <w:pStyle w:val="ListParagraph"/>
        <w:spacing w:line="240" w:lineRule="auto"/>
        <w:ind w:left="0"/>
        <w:rPr>
          <w:rFonts w:ascii="Arial" w:eastAsia="Times New Roman" w:hAnsi="Arial" w:cs="Arial"/>
          <w:sz w:val="21"/>
          <w:szCs w:val="21"/>
        </w:rPr>
      </w:pPr>
    </w:p>
    <w:p w:rsidR="00832580" w:rsidRDefault="00832580" w:rsidP="00832580">
      <w:pPr>
        <w:pStyle w:val="ListParagraph"/>
        <w:spacing w:line="240" w:lineRule="auto"/>
        <w:ind w:left="0"/>
        <w:rPr>
          <w:rFonts w:ascii="Arial" w:eastAsia="Times New Roman" w:hAnsi="Arial" w:cs="Arial"/>
          <w:sz w:val="21"/>
          <w:szCs w:val="21"/>
        </w:rPr>
      </w:pPr>
      <w:r w:rsidRPr="00157FED">
        <w:rPr>
          <w:rFonts w:ascii="Arial" w:eastAsia="Times New Roman" w:hAnsi="Arial" w:cs="Arial"/>
          <w:b/>
          <w:bCs/>
          <w:sz w:val="21"/>
          <w:szCs w:val="21"/>
          <w:u w:val="single"/>
        </w:rPr>
        <w:t>Directions</w:t>
      </w:r>
      <w:r>
        <w:rPr>
          <w:rFonts w:ascii="Arial" w:eastAsia="Times New Roman" w:hAnsi="Arial" w:cs="Arial"/>
          <w:sz w:val="21"/>
          <w:szCs w:val="21"/>
        </w:rPr>
        <w:t xml:space="preserve">:  Please </w:t>
      </w:r>
      <w:r w:rsidRPr="00F92C07">
        <w:rPr>
          <w:rFonts w:ascii="Arial" w:eastAsia="Times New Roman" w:hAnsi="Arial" w:cs="Arial"/>
          <w:i/>
          <w:iCs/>
          <w:sz w:val="21"/>
          <w:szCs w:val="21"/>
          <w:highlight w:val="yellow"/>
          <w:u w:val="single"/>
        </w:rPr>
        <w:t>highlight</w:t>
      </w:r>
      <w:r>
        <w:rPr>
          <w:rFonts w:ascii="Arial" w:eastAsia="Times New Roman" w:hAnsi="Arial" w:cs="Arial"/>
          <w:sz w:val="21"/>
          <w:szCs w:val="21"/>
        </w:rPr>
        <w:t xml:space="preserve"> the most appropriate response and answer essays as requested.</w:t>
      </w:r>
    </w:p>
    <w:p w:rsidR="00832580" w:rsidRDefault="00832580" w:rsidP="00832580">
      <w:pPr>
        <w:spacing w:line="240" w:lineRule="auto"/>
        <w:rPr>
          <w:rFonts w:ascii="Arial" w:eastAsia="Times New Roman" w:hAnsi="Arial" w:cs="Arial"/>
          <w:color w:val="000000" w:themeColor="text1"/>
          <w:sz w:val="21"/>
          <w:szCs w:val="21"/>
        </w:rPr>
      </w:pPr>
    </w:p>
    <w:p w:rsidR="00832580" w:rsidRPr="00206C54" w:rsidRDefault="00832580" w:rsidP="00832580">
      <w:pPr>
        <w:spacing w:line="240" w:lineRule="auto"/>
        <w:rPr>
          <w:rFonts w:ascii="Arial" w:eastAsia="Times New Roman" w:hAnsi="Arial" w:cs="Arial"/>
          <w:color w:val="000000" w:themeColor="text1"/>
          <w:sz w:val="21"/>
          <w:szCs w:val="21"/>
        </w:rPr>
      </w:pPr>
      <w:r w:rsidRPr="00206C54">
        <w:rPr>
          <w:rFonts w:ascii="Arial" w:eastAsia="Times New Roman" w:hAnsi="Arial" w:cs="Arial"/>
          <w:color w:val="000000" w:themeColor="text1"/>
          <w:sz w:val="21"/>
          <w:szCs w:val="21"/>
        </w:rPr>
        <w:t>1. Which of the following is true of agency law?</w:t>
      </w:r>
    </w:p>
    <w:p w:rsidR="00832580" w:rsidRPr="00670A00" w:rsidRDefault="00832580" w:rsidP="00832580">
      <w:pPr>
        <w:pStyle w:val="ListParagraph"/>
        <w:numPr>
          <w:ilvl w:val="0"/>
          <w:numId w:val="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only exists in employer-employee relationships.</w:t>
      </w:r>
    </w:p>
    <w:p w:rsidR="00832580" w:rsidRPr="00670A00" w:rsidRDefault="00832580" w:rsidP="00832580">
      <w:pPr>
        <w:pStyle w:val="ListParagraph"/>
        <w:numPr>
          <w:ilvl w:val="0"/>
          <w:numId w:val="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Only individuals can act as agents, corporations function exclusively as principals.</w:t>
      </w:r>
    </w:p>
    <w:p w:rsidR="00832580" w:rsidRPr="0030102F" w:rsidRDefault="00832580" w:rsidP="00832580">
      <w:pPr>
        <w:pStyle w:val="ListParagraph"/>
        <w:numPr>
          <w:ilvl w:val="0"/>
          <w:numId w:val="1"/>
        </w:numPr>
        <w:spacing w:after="0" w:line="240" w:lineRule="auto"/>
        <w:rPr>
          <w:rFonts w:ascii="Arial" w:eastAsia="Times New Roman" w:hAnsi="Arial" w:cs="Arial"/>
          <w:color w:val="333333"/>
          <w:sz w:val="21"/>
          <w:szCs w:val="21"/>
          <w:highlight w:val="yellow"/>
        </w:rPr>
      </w:pPr>
      <w:r w:rsidRPr="0030102F">
        <w:rPr>
          <w:rFonts w:ascii="Arial" w:eastAsia="Times New Roman" w:hAnsi="Arial" w:cs="Arial"/>
          <w:color w:val="333333"/>
          <w:sz w:val="21"/>
          <w:szCs w:val="21"/>
          <w:highlight w:val="yellow"/>
        </w:rPr>
        <w:t>In an agency relationship, the principal is under the charge of the agent.</w:t>
      </w:r>
    </w:p>
    <w:p w:rsidR="00832580" w:rsidRPr="00670A00" w:rsidRDefault="00832580" w:rsidP="00832580">
      <w:pPr>
        <w:pStyle w:val="ListParagraph"/>
        <w:numPr>
          <w:ilvl w:val="0"/>
          <w:numId w:val="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Agency law is primarily state statutory law.</w:t>
      </w:r>
    </w:p>
    <w:p w:rsidR="00832580" w:rsidRPr="00670A00" w:rsidRDefault="00832580" w:rsidP="00832580">
      <w:pPr>
        <w:rPr>
          <w:color w:val="000000" w:themeColor="text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2. Which of the following would be a servant in a master-servant relationship?</w:t>
      </w:r>
    </w:p>
    <w:p w:rsidR="00832580" w:rsidRPr="0030102F" w:rsidRDefault="00832580" w:rsidP="00832580">
      <w:pPr>
        <w:pStyle w:val="ListParagraph"/>
        <w:numPr>
          <w:ilvl w:val="0"/>
          <w:numId w:val="2"/>
        </w:numPr>
        <w:spacing w:after="0" w:line="240" w:lineRule="auto"/>
        <w:rPr>
          <w:rFonts w:ascii="Arial" w:eastAsia="Times New Roman" w:hAnsi="Arial" w:cs="Arial"/>
          <w:bCs/>
          <w:color w:val="333333"/>
          <w:sz w:val="21"/>
          <w:szCs w:val="21"/>
          <w:highlight w:val="yellow"/>
        </w:rPr>
      </w:pPr>
      <w:r w:rsidRPr="0030102F">
        <w:rPr>
          <w:rFonts w:ascii="Arial" w:eastAsia="Times New Roman" w:hAnsi="Arial" w:cs="Arial"/>
          <w:bCs/>
          <w:color w:val="333333"/>
          <w:sz w:val="21"/>
          <w:szCs w:val="21"/>
          <w:highlight w:val="yellow"/>
        </w:rPr>
        <w:t>The security guard who worked for Countryside Credit Union</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lawyer who represented a private client in a lawsuit</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friend who agreed to pick up the pizza for the group of friends watching the football game</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 branch manager at First Trust Bank</w:t>
      </w:r>
    </w:p>
    <w:p w:rsidR="00832580" w:rsidRPr="00670A00" w:rsidRDefault="00832580" w:rsidP="00832580"/>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3. Botha is a rich art collector and corporate executive who wants to remain anonymous in a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purchase of a Van Gogh painting. He has Francine, an executive in his corporation, negotiate for</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the purchase of the painting, which is being sold by Northway’s Art Sales. Francine reports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directly to Botha and is supervised directly by him. Botha instructed Francine to tell Northway’s that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the represents an art collector who will go unnamed. The agency would be described as</w:t>
      </w:r>
    </w:p>
    <w:p w:rsidR="00832580" w:rsidRPr="00670A00" w:rsidRDefault="00832580" w:rsidP="00832580">
      <w:pPr>
        <w:spacing w:after="0" w:line="240" w:lineRule="auto"/>
        <w:rPr>
          <w:rFonts w:ascii="Arial" w:eastAsia="Times New Roman" w:hAnsi="Arial" w:cs="Arial"/>
          <w:color w:val="000000" w:themeColor="text1"/>
          <w:sz w:val="21"/>
          <w:szCs w:val="21"/>
        </w:rPr>
      </w:pPr>
    </w:p>
    <w:p w:rsidR="00832580" w:rsidRPr="00670A00" w:rsidRDefault="00832580" w:rsidP="00832580">
      <w:pPr>
        <w:pStyle w:val="ListParagraph"/>
        <w:numPr>
          <w:ilvl w:val="0"/>
          <w:numId w:val="3"/>
        </w:num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disclosed.</w:t>
      </w:r>
    </w:p>
    <w:p w:rsidR="00832580" w:rsidRPr="0030102F" w:rsidRDefault="00832580" w:rsidP="00832580">
      <w:pPr>
        <w:pStyle w:val="ListParagraph"/>
        <w:numPr>
          <w:ilvl w:val="0"/>
          <w:numId w:val="3"/>
        </w:numPr>
        <w:spacing w:after="0" w:line="240" w:lineRule="auto"/>
        <w:rPr>
          <w:rFonts w:ascii="Arial" w:eastAsia="Times New Roman" w:hAnsi="Arial" w:cs="Arial"/>
          <w:bCs/>
          <w:color w:val="333333"/>
          <w:sz w:val="21"/>
          <w:szCs w:val="21"/>
          <w:highlight w:val="yellow"/>
        </w:rPr>
      </w:pPr>
      <w:r w:rsidRPr="0030102F">
        <w:rPr>
          <w:rFonts w:ascii="Arial" w:eastAsia="Times New Roman" w:hAnsi="Arial" w:cs="Arial"/>
          <w:bCs/>
          <w:color w:val="333333"/>
          <w:sz w:val="21"/>
          <w:szCs w:val="21"/>
          <w:highlight w:val="yellow"/>
        </w:rPr>
        <w:t>partially disclosed.</w:t>
      </w:r>
    </w:p>
    <w:p w:rsidR="00832580" w:rsidRPr="00670A00" w:rsidRDefault="00832580" w:rsidP="00832580">
      <w:pPr>
        <w:pStyle w:val="ListParagraph"/>
        <w:numPr>
          <w:ilvl w:val="0"/>
          <w:numId w:val="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undisclosed.</w:t>
      </w:r>
    </w:p>
    <w:p w:rsidR="00832580" w:rsidRPr="00670A00" w:rsidRDefault="00832580" w:rsidP="00832580">
      <w:pPr>
        <w:pStyle w:val="ListParagraph"/>
        <w:numPr>
          <w:ilvl w:val="0"/>
          <w:numId w:val="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indemnified.</w:t>
      </w:r>
    </w:p>
    <w:p w:rsidR="00832580" w:rsidRPr="00670A00" w:rsidRDefault="00832580" w:rsidP="00832580"/>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4. Rita defaulted on the loan of her motorhome. She had borrowed the money to purchase the motorhome from Thrifty Bank. Thrifty hired Roger the Repo Man to repossess the motorhome for a fee of $1,000. Roger was told to find the motorhome and take it in whatever manner he thought best so long as he did not break the law. Roger would be classified as</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an agent/employee.</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principal.</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gratuitous agent.</w:t>
      </w:r>
    </w:p>
    <w:p w:rsidR="00832580" w:rsidRPr="0030102F" w:rsidRDefault="00832580" w:rsidP="00832580">
      <w:pPr>
        <w:pStyle w:val="ListParagraph"/>
        <w:numPr>
          <w:ilvl w:val="0"/>
          <w:numId w:val="4"/>
        </w:numPr>
        <w:spacing w:after="0" w:line="240" w:lineRule="auto"/>
        <w:rPr>
          <w:rFonts w:ascii="Arial" w:eastAsia="Times New Roman" w:hAnsi="Arial" w:cs="Arial"/>
          <w:bCs/>
          <w:color w:val="333333"/>
          <w:sz w:val="21"/>
          <w:szCs w:val="21"/>
          <w:highlight w:val="yellow"/>
        </w:rPr>
      </w:pPr>
      <w:r w:rsidRPr="0030102F">
        <w:rPr>
          <w:rFonts w:ascii="Arial" w:eastAsia="Times New Roman" w:hAnsi="Arial" w:cs="Arial"/>
          <w:bCs/>
          <w:color w:val="333333"/>
          <w:sz w:val="21"/>
          <w:szCs w:val="21"/>
          <w:highlight w:val="yellow"/>
        </w:rPr>
        <w:t>an independent contractor.</w:t>
      </w:r>
    </w:p>
    <w:p w:rsidR="00832580" w:rsidRPr="00670A00" w:rsidRDefault="00832580" w:rsidP="00832580">
      <w:pPr>
        <w:spacing w:after="0"/>
      </w:pPr>
    </w:p>
    <w:p w:rsidR="00832580" w:rsidRPr="00670A00" w:rsidRDefault="00832580" w:rsidP="00832580">
      <w:pPr>
        <w:spacing w:after="0"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5. The IRS three-prong test includes which of the following elements?re1</w:t>
      </w:r>
      <w:r w:rsidRPr="00670A00">
        <w:rPr>
          <w:rFonts w:ascii="Arial" w:eastAsia="Times New Roman" w:hAnsi="Arial" w:cs="Arial"/>
          <w:color w:val="FFFFFF"/>
          <w:sz w:val="21"/>
          <w:szCs w:val="21"/>
        </w:rPr>
        <w:t>_12_2021_QC_CS-246019</w:t>
      </w:r>
    </w:p>
    <w:p w:rsidR="00832580" w:rsidRPr="00002F43" w:rsidRDefault="00832580" w:rsidP="00832580">
      <w:pPr>
        <w:pStyle w:val="ListParagraph"/>
        <w:numPr>
          <w:ilvl w:val="0"/>
          <w:numId w:val="5"/>
        </w:numPr>
        <w:spacing w:after="0" w:line="240" w:lineRule="auto"/>
        <w:rPr>
          <w:rFonts w:ascii="Arial" w:eastAsia="Times New Roman" w:hAnsi="Arial" w:cs="Arial"/>
          <w:color w:val="333333"/>
          <w:sz w:val="21"/>
          <w:szCs w:val="21"/>
          <w:highlight w:val="yellow"/>
        </w:rPr>
      </w:pPr>
      <w:r w:rsidRPr="00002F43">
        <w:rPr>
          <w:rFonts w:ascii="Arial" w:eastAsia="Times New Roman" w:hAnsi="Arial" w:cs="Arial"/>
          <w:color w:val="333333"/>
          <w:sz w:val="21"/>
          <w:szCs w:val="21"/>
          <w:highlight w:val="yellow"/>
        </w:rPr>
        <w:t>multijurisdictional aspects.</w:t>
      </w:r>
    </w:p>
    <w:p w:rsidR="00832580" w:rsidRPr="00670A00" w:rsidRDefault="00832580" w:rsidP="00832580">
      <w:pPr>
        <w:pStyle w:val="ListParagraph"/>
        <w:numPr>
          <w:ilvl w:val="0"/>
          <w:numId w:val="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financial relationship.</w:t>
      </w:r>
    </w:p>
    <w:p w:rsidR="00832580" w:rsidRPr="00670A00" w:rsidRDefault="00832580" w:rsidP="00832580">
      <w:pPr>
        <w:pStyle w:val="ListParagraph"/>
        <w:numPr>
          <w:ilvl w:val="0"/>
          <w:numId w:val="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gratuitous control aspects.</w:t>
      </w:r>
    </w:p>
    <w:p w:rsidR="00832580" w:rsidRPr="00670A00" w:rsidRDefault="00832580" w:rsidP="00832580">
      <w:pPr>
        <w:pStyle w:val="ListParagraph"/>
        <w:numPr>
          <w:ilvl w:val="0"/>
          <w:numId w:val="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interdependence relationship.</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6. Which of the following is a true of the distinction between employee agents and independent    contractors?</w:t>
      </w:r>
    </w:p>
    <w:p w:rsidR="00832580" w:rsidRPr="00002F43" w:rsidRDefault="00832580" w:rsidP="00832580">
      <w:pPr>
        <w:pStyle w:val="ListParagraph"/>
        <w:numPr>
          <w:ilvl w:val="0"/>
          <w:numId w:val="6"/>
        </w:numPr>
        <w:spacing w:after="0" w:line="240" w:lineRule="auto"/>
        <w:rPr>
          <w:rFonts w:ascii="Arial" w:eastAsia="Times New Roman" w:hAnsi="Arial" w:cs="Arial"/>
          <w:bCs/>
          <w:color w:val="333333"/>
          <w:sz w:val="21"/>
          <w:szCs w:val="21"/>
          <w:highlight w:val="yellow"/>
        </w:rPr>
      </w:pPr>
      <w:r w:rsidRPr="00002F43">
        <w:rPr>
          <w:rFonts w:ascii="Arial" w:eastAsia="Times New Roman" w:hAnsi="Arial" w:cs="Arial"/>
          <w:bCs/>
          <w:color w:val="333333"/>
          <w:sz w:val="21"/>
          <w:szCs w:val="21"/>
          <w:highlight w:val="yellow"/>
        </w:rPr>
        <w:t>The agent is classified based on the level of direction and control that the principal has over the agent.</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Courts look primarily to federal law in the determination of most agency or independent contractor relationships.</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If a principal provides the tools, this typically indicates an independent contractor relationship.</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There is are no formal state penalties in the United States for agency misclassification, the only available remedy is a civil lawsuit.</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sz w:val="21"/>
          <w:szCs w:val="21"/>
        </w:rPr>
      </w:pPr>
      <w:r w:rsidRPr="00670A00">
        <w:rPr>
          <w:rFonts w:ascii="Arial" w:eastAsia="Times New Roman" w:hAnsi="Arial" w:cs="Arial"/>
          <w:sz w:val="21"/>
          <w:szCs w:val="21"/>
        </w:rPr>
        <w:t>7. Elizabeth works as a delivery driver for Big Box Hardware Store (BBHS) and picks up a load of metal barn roofing to deliver to a customer. Elizabeth is told by her manager to take a certain route to deliver the roofing. While driving to the location, Elizabeth decides to drive a half mile out of her way to pick up some food at Taco Palace. Elizabeth does not call BBHS to ask for permission to get tacos. On the way to Taco Palace, Elizabeth rear ends Jake’s car, giving him whiplash and totaling his car. Jake sues BBHS. What result?</w:t>
      </w:r>
    </w:p>
    <w:p w:rsidR="00832580" w:rsidRPr="00107FC4" w:rsidRDefault="00832580" w:rsidP="00832580">
      <w:pPr>
        <w:pStyle w:val="ListParagraph"/>
        <w:numPr>
          <w:ilvl w:val="0"/>
          <w:numId w:val="7"/>
        </w:numPr>
        <w:spacing w:after="0" w:line="240" w:lineRule="auto"/>
        <w:rPr>
          <w:rFonts w:ascii="Arial" w:eastAsia="Times New Roman" w:hAnsi="Arial" w:cs="Arial"/>
          <w:color w:val="333333"/>
          <w:sz w:val="21"/>
          <w:szCs w:val="21"/>
          <w:highlight w:val="yellow"/>
        </w:rPr>
      </w:pPr>
      <w:r w:rsidRPr="00107FC4">
        <w:rPr>
          <w:rFonts w:ascii="Arial" w:eastAsia="Times New Roman" w:hAnsi="Arial" w:cs="Arial"/>
          <w:color w:val="333333"/>
          <w:sz w:val="21"/>
          <w:szCs w:val="21"/>
          <w:highlight w:val="yellow"/>
        </w:rPr>
        <w:t>BBHS is not liable because Elizabeth was on a detour.</w:t>
      </w:r>
    </w:p>
    <w:p w:rsidR="00832580" w:rsidRPr="00670A00" w:rsidRDefault="00832580" w:rsidP="00832580">
      <w:pPr>
        <w:pStyle w:val="ListParagraph"/>
        <w:numPr>
          <w:ilvl w:val="0"/>
          <w:numId w:val="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BBHS is not liable because Elizabeth was on a frolic.</w:t>
      </w:r>
    </w:p>
    <w:p w:rsidR="00832580" w:rsidRPr="00670A00" w:rsidRDefault="00832580" w:rsidP="00832580">
      <w:pPr>
        <w:pStyle w:val="ListParagraph"/>
        <w:numPr>
          <w:ilvl w:val="0"/>
          <w:numId w:val="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Elizabeth was on a detour, so BBHS is liable.</w:t>
      </w:r>
    </w:p>
    <w:p w:rsidR="00832580" w:rsidRPr="00670A00" w:rsidRDefault="00832580" w:rsidP="00832580">
      <w:pPr>
        <w:pStyle w:val="ListParagraph"/>
        <w:numPr>
          <w:ilvl w:val="0"/>
          <w:numId w:val="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Elizabeth was on a frolic, so BBHS is liable.</w:t>
      </w:r>
    </w:p>
    <w:p w:rsidR="00832580" w:rsidRPr="00670A00" w:rsidRDefault="00832580" w:rsidP="00832580">
      <w:pPr>
        <w:rPr>
          <w:color w:val="000000" w:themeColor="text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8. Who of the following is a gratuitous agent?</w:t>
      </w:r>
    </w:p>
    <w:p w:rsidR="00832580" w:rsidRPr="00670A00" w:rsidRDefault="00832580" w:rsidP="00832580">
      <w:pPr>
        <w:pStyle w:val="ListParagraph"/>
        <w:numPr>
          <w:ilvl w:val="0"/>
          <w:numId w:val="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Carlton works for Big Corp as a delivery driver</w:t>
      </w:r>
    </w:p>
    <w:p w:rsidR="00832580" w:rsidRPr="00670A00" w:rsidRDefault="00832580" w:rsidP="00832580">
      <w:pPr>
        <w:pStyle w:val="ListParagraph"/>
        <w:numPr>
          <w:ilvl w:val="0"/>
          <w:numId w:val="8"/>
        </w:numPr>
        <w:spacing w:after="0" w:line="240" w:lineRule="auto"/>
        <w:rPr>
          <w:rFonts w:ascii="Arial" w:eastAsia="Times New Roman" w:hAnsi="Arial" w:cs="Arial"/>
          <w:bCs/>
          <w:color w:val="333333"/>
          <w:sz w:val="21"/>
          <w:szCs w:val="21"/>
        </w:rPr>
      </w:pPr>
      <w:r w:rsidRPr="00670A00">
        <w:rPr>
          <w:rFonts w:ascii="Arial" w:eastAsia="Times New Roman" w:hAnsi="Arial" w:cs="Arial"/>
          <w:color w:val="333333"/>
          <w:sz w:val="21"/>
          <w:szCs w:val="21"/>
        </w:rPr>
        <w:t>Jailyn works as a staff accountant for Roosevelt, Truman and Eisenhower, CPAs</w:t>
      </w:r>
    </w:p>
    <w:p w:rsidR="00832580" w:rsidRPr="00107FC4" w:rsidRDefault="00832580" w:rsidP="00832580">
      <w:pPr>
        <w:pStyle w:val="ListParagraph"/>
        <w:numPr>
          <w:ilvl w:val="0"/>
          <w:numId w:val="8"/>
        </w:numPr>
        <w:spacing w:after="0" w:line="240" w:lineRule="auto"/>
        <w:rPr>
          <w:rFonts w:ascii="Arial" w:eastAsia="Times New Roman" w:hAnsi="Arial" w:cs="Arial"/>
          <w:color w:val="333333"/>
          <w:sz w:val="21"/>
          <w:szCs w:val="21"/>
          <w:highlight w:val="yellow"/>
        </w:rPr>
      </w:pPr>
      <w:r w:rsidRPr="00107FC4">
        <w:rPr>
          <w:rFonts w:ascii="Arial" w:eastAsia="Times New Roman" w:hAnsi="Arial" w:cs="Arial"/>
          <w:bCs/>
          <w:color w:val="333333"/>
          <w:sz w:val="21"/>
          <w:szCs w:val="21"/>
          <w:highlight w:val="yellow"/>
        </w:rPr>
        <w:t>Greta asks her roommate Dorian to pick up her laundry from the dry cleaners as a favor</w:t>
      </w:r>
    </w:p>
    <w:p w:rsidR="00832580" w:rsidRPr="00670A00" w:rsidRDefault="00832580" w:rsidP="00832580">
      <w:pPr>
        <w:pStyle w:val="ListParagraph"/>
        <w:numPr>
          <w:ilvl w:val="0"/>
          <w:numId w:val="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Brynn asks Tan, a truck driver for her company, to deliver a load of lumber by the end of the day</w:t>
      </w:r>
    </w:p>
    <w:p w:rsidR="00832580" w:rsidRPr="00670A00" w:rsidRDefault="00832580" w:rsidP="00832580"/>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9. Darvon agreed by contract to be an agent employee for Imagine Corporation. This is known in agency law as</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manifestation</w:t>
      </w:r>
    </w:p>
    <w:p w:rsidR="00832580" w:rsidRPr="00D34209" w:rsidRDefault="00832580" w:rsidP="00832580">
      <w:pPr>
        <w:pStyle w:val="ListParagraph"/>
        <w:numPr>
          <w:ilvl w:val="0"/>
          <w:numId w:val="9"/>
        </w:numPr>
        <w:spacing w:after="0" w:line="240" w:lineRule="auto"/>
        <w:rPr>
          <w:rFonts w:ascii="Arial" w:eastAsia="Times New Roman" w:hAnsi="Arial" w:cs="Arial"/>
          <w:bCs/>
          <w:color w:val="333333"/>
          <w:sz w:val="21"/>
          <w:szCs w:val="21"/>
          <w:highlight w:val="yellow"/>
        </w:rPr>
      </w:pPr>
      <w:r w:rsidRPr="00D34209">
        <w:rPr>
          <w:rFonts w:ascii="Arial" w:eastAsia="Times New Roman" w:hAnsi="Arial" w:cs="Arial"/>
          <w:bCs/>
          <w:color w:val="333333"/>
          <w:sz w:val="21"/>
          <w:szCs w:val="21"/>
          <w:highlight w:val="yellow"/>
        </w:rPr>
        <w:t>consent</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disclosure</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ratification</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10. Big Manufacturing was interviewing Blundell for a position as a production line manager. He had excellent references for working hard and competence, but one of his references told the hiring supervisor that Blundell had a temper and seemed like he was always “ready to explode.” Since Big Manufacturing needed a manager fast, they took their chances and offered Blundell a job. Within a month after being hired, Blundell screamed at a group of tourists visiting the factory and punched Craig, a man who shouted back at him. Craig sued Big Manufacturing for his injuries. What result?</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Craig wins under the doctrine of negligent retention.</w:t>
      </w:r>
    </w:p>
    <w:p w:rsidR="00832580" w:rsidRPr="00D414E6" w:rsidRDefault="00832580" w:rsidP="00832580">
      <w:pPr>
        <w:pStyle w:val="ListParagraph"/>
        <w:numPr>
          <w:ilvl w:val="0"/>
          <w:numId w:val="10"/>
        </w:numPr>
        <w:spacing w:after="0" w:line="240" w:lineRule="auto"/>
        <w:rPr>
          <w:rFonts w:ascii="Arial" w:eastAsia="Times New Roman" w:hAnsi="Arial" w:cs="Arial"/>
          <w:bCs/>
          <w:color w:val="333333"/>
          <w:sz w:val="21"/>
          <w:szCs w:val="21"/>
          <w:highlight w:val="yellow"/>
        </w:rPr>
      </w:pPr>
      <w:r w:rsidRPr="00D414E6">
        <w:rPr>
          <w:rFonts w:ascii="Arial" w:eastAsia="Times New Roman" w:hAnsi="Arial" w:cs="Arial"/>
          <w:bCs/>
          <w:color w:val="333333"/>
          <w:sz w:val="21"/>
          <w:szCs w:val="21"/>
          <w:highlight w:val="yellow"/>
        </w:rPr>
        <w:t>Craig wins under the doctrine of negligent hiring.</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Big Manufacturing wins because Blundell was involved in a detour.</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Big Manufacturing wins because Blundell was involved in a frolic.</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670A00" w:rsidRDefault="00670A00" w:rsidP="00832580">
      <w:pPr>
        <w:spacing w:line="240" w:lineRule="auto"/>
        <w:rPr>
          <w:rFonts w:ascii="Arial" w:eastAsia="Times New Roman" w:hAnsi="Arial" w:cs="Arial"/>
          <w:color w:val="000000" w:themeColor="text1"/>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11. With regard to negligent hiring, courts would require the least amount of scrutiny regarding a</w:t>
      </w:r>
    </w:p>
    <w:p w:rsidR="00832580" w:rsidRPr="00D414E6" w:rsidRDefault="00832580" w:rsidP="00832580">
      <w:pPr>
        <w:pStyle w:val="ListParagraph"/>
        <w:numPr>
          <w:ilvl w:val="0"/>
          <w:numId w:val="11"/>
        </w:numPr>
        <w:spacing w:after="0" w:line="240" w:lineRule="auto"/>
        <w:rPr>
          <w:rFonts w:ascii="Arial" w:eastAsia="Times New Roman" w:hAnsi="Arial" w:cs="Arial"/>
          <w:bCs/>
          <w:color w:val="333333"/>
          <w:sz w:val="21"/>
          <w:szCs w:val="21"/>
          <w:highlight w:val="yellow"/>
        </w:rPr>
      </w:pPr>
      <w:r w:rsidRPr="00D414E6">
        <w:rPr>
          <w:rFonts w:ascii="Arial" w:eastAsia="Times New Roman" w:hAnsi="Arial" w:cs="Arial"/>
          <w:bCs/>
          <w:color w:val="333333"/>
          <w:sz w:val="21"/>
          <w:szCs w:val="21"/>
          <w:highlight w:val="yellow"/>
        </w:rPr>
        <w:t>warehouse worker.</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pest control specialist who makes house calls.</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daycare worker.</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real estate agent.</w:t>
      </w:r>
    </w:p>
    <w:p w:rsidR="00832580" w:rsidRPr="00670A00" w:rsidRDefault="00832580" w:rsidP="00670A00">
      <w:pPr>
        <w:spacing w:after="0"/>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12. When an agent agrees to act for the principal, this is known as</w:t>
      </w:r>
    </w:p>
    <w:p w:rsidR="00832580" w:rsidRPr="00670A00" w:rsidRDefault="00832580" w:rsidP="00832580">
      <w:pPr>
        <w:pStyle w:val="ListParagraph"/>
        <w:numPr>
          <w:ilvl w:val="0"/>
          <w:numId w:val="1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manifestation.</w:t>
      </w:r>
    </w:p>
    <w:p w:rsidR="00832580" w:rsidRPr="00FB581B" w:rsidRDefault="00832580" w:rsidP="00832580">
      <w:pPr>
        <w:pStyle w:val="ListParagraph"/>
        <w:numPr>
          <w:ilvl w:val="0"/>
          <w:numId w:val="12"/>
        </w:numPr>
        <w:spacing w:after="0" w:line="240" w:lineRule="auto"/>
        <w:rPr>
          <w:rFonts w:ascii="Arial" w:eastAsia="Times New Roman" w:hAnsi="Arial" w:cs="Arial"/>
          <w:color w:val="333333"/>
          <w:sz w:val="21"/>
          <w:szCs w:val="21"/>
          <w:highlight w:val="yellow"/>
        </w:rPr>
      </w:pPr>
      <w:r w:rsidRPr="00FB581B">
        <w:rPr>
          <w:rFonts w:ascii="Arial" w:eastAsia="Times New Roman" w:hAnsi="Arial" w:cs="Arial"/>
          <w:color w:val="333333"/>
          <w:sz w:val="21"/>
          <w:szCs w:val="21"/>
          <w:highlight w:val="yellow"/>
        </w:rPr>
        <w:t>assertion of control.</w:t>
      </w:r>
    </w:p>
    <w:p w:rsidR="00832580" w:rsidRPr="00670A00" w:rsidRDefault="00832580" w:rsidP="00832580">
      <w:pPr>
        <w:pStyle w:val="ListParagraph"/>
        <w:numPr>
          <w:ilvl w:val="0"/>
          <w:numId w:val="1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consent.</w:t>
      </w:r>
    </w:p>
    <w:p w:rsidR="00832580" w:rsidRPr="00670A00" w:rsidRDefault="00832580" w:rsidP="00832580">
      <w:pPr>
        <w:pStyle w:val="ListParagraph"/>
        <w:numPr>
          <w:ilvl w:val="0"/>
          <w:numId w:val="1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apparent authority.</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13. When a principal breach a duty to an agent</w:t>
      </w:r>
    </w:p>
    <w:p w:rsidR="00832580" w:rsidRPr="00670A00"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 agent has no legal rights except to terminate the agency relationship.</w:t>
      </w:r>
    </w:p>
    <w:p w:rsidR="00832580" w:rsidRPr="00FB581B" w:rsidRDefault="00832580" w:rsidP="00832580">
      <w:pPr>
        <w:pStyle w:val="ListParagraph"/>
        <w:numPr>
          <w:ilvl w:val="0"/>
          <w:numId w:val="13"/>
        </w:numPr>
        <w:spacing w:after="0" w:line="240" w:lineRule="auto"/>
        <w:rPr>
          <w:rFonts w:ascii="Arial" w:eastAsia="Times New Roman" w:hAnsi="Arial" w:cs="Arial"/>
          <w:bCs/>
          <w:color w:val="333333"/>
          <w:sz w:val="21"/>
          <w:szCs w:val="21"/>
          <w:highlight w:val="yellow"/>
        </w:rPr>
      </w:pPr>
      <w:r w:rsidRPr="00FB581B">
        <w:rPr>
          <w:rFonts w:ascii="Arial" w:eastAsia="Times New Roman" w:hAnsi="Arial" w:cs="Arial"/>
          <w:bCs/>
          <w:color w:val="333333"/>
          <w:sz w:val="21"/>
          <w:szCs w:val="21"/>
          <w:highlight w:val="yellow"/>
        </w:rPr>
        <w:t>the agent generally has the right to recover damages in court.</w:t>
      </w:r>
    </w:p>
    <w:p w:rsidR="00832580" w:rsidRPr="00670A00"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terminates the agency relationship by expiration.</w:t>
      </w:r>
    </w:p>
    <w:p w:rsidR="00832580" w:rsidRPr="00206C54"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terminates the agency by destruction of the essential subject matter of the relationship</w:t>
      </w:r>
      <w:r w:rsidRPr="00206C54">
        <w:rPr>
          <w:rFonts w:ascii="Arial" w:eastAsia="Times New Roman" w:hAnsi="Arial" w:cs="Arial"/>
          <w:color w:val="333333"/>
          <w:sz w:val="21"/>
          <w:szCs w:val="21"/>
        </w:rPr>
        <w:t>.</w:t>
      </w:r>
    </w:p>
    <w:p w:rsidR="00832580" w:rsidRPr="00AC31B7" w:rsidRDefault="00832580" w:rsidP="00832580">
      <w:pPr>
        <w:spacing w:after="0" w:line="240" w:lineRule="auto"/>
        <w:rPr>
          <w:rFonts w:ascii="Arial" w:eastAsia="Times New Roman" w:hAnsi="Arial" w:cs="Arial"/>
          <w:color w:val="333333"/>
          <w:sz w:val="21"/>
          <w:szCs w:val="21"/>
        </w:rPr>
      </w:pPr>
    </w:p>
    <w:p w:rsidR="00832580" w:rsidRDefault="00832580" w:rsidP="00832580">
      <w:pPr>
        <w:jc w:val="center"/>
        <w:rPr>
          <w:b/>
          <w:bCs/>
          <w:u w:val="single"/>
        </w:rPr>
      </w:pPr>
      <w:r w:rsidRPr="00AC31B7">
        <w:rPr>
          <w:b/>
          <w:bCs/>
          <w:u w:val="single"/>
        </w:rPr>
        <w:t>Chapter 11</w:t>
      </w: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Generally, an at-will employee may be fired just because the boss does not like him or her.</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14"/>
        </w:numPr>
        <w:spacing w:after="0" w:line="240" w:lineRule="auto"/>
        <w:rPr>
          <w:rFonts w:ascii="Arial" w:eastAsia="Times New Roman" w:hAnsi="Arial" w:cs="Arial"/>
          <w:bCs/>
          <w:color w:val="000000" w:themeColor="text1"/>
          <w:sz w:val="21"/>
          <w:szCs w:val="21"/>
        </w:rPr>
      </w:pPr>
      <w:r w:rsidRPr="00670A00">
        <w:rPr>
          <w:rFonts w:ascii="Arial" w:eastAsia="Times New Roman" w:hAnsi="Arial" w:cs="Arial"/>
          <w:bCs/>
          <w:color w:val="000000" w:themeColor="text1"/>
          <w:sz w:val="21"/>
          <w:szCs w:val="21"/>
        </w:rPr>
        <w:t>True</w:t>
      </w:r>
    </w:p>
    <w:p w:rsidR="00832580" w:rsidRPr="00FB581B" w:rsidRDefault="00832580" w:rsidP="00832580">
      <w:pPr>
        <w:pStyle w:val="ListParagraph"/>
        <w:numPr>
          <w:ilvl w:val="0"/>
          <w:numId w:val="14"/>
        </w:numPr>
        <w:spacing w:after="0" w:line="240" w:lineRule="auto"/>
        <w:rPr>
          <w:rFonts w:ascii="Arial" w:eastAsia="Times New Roman" w:hAnsi="Arial" w:cs="Arial"/>
          <w:color w:val="333333"/>
          <w:sz w:val="21"/>
          <w:szCs w:val="21"/>
          <w:highlight w:val="yellow"/>
        </w:rPr>
      </w:pPr>
      <w:r w:rsidRPr="00FB581B">
        <w:rPr>
          <w:rFonts w:ascii="Arial" w:eastAsia="Times New Roman" w:hAnsi="Arial" w:cs="Arial"/>
          <w:color w:val="333333"/>
          <w:sz w:val="21"/>
          <w:szCs w:val="21"/>
          <w:highlight w:val="yellow"/>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shift from an agricultural society toward industrial production began almost immediately after the end of the U.S. Revolution.</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37416A" w:rsidRDefault="00832580" w:rsidP="00832580">
      <w:pPr>
        <w:pStyle w:val="ListParagraph"/>
        <w:numPr>
          <w:ilvl w:val="0"/>
          <w:numId w:val="15"/>
        </w:numPr>
        <w:spacing w:after="0" w:line="240" w:lineRule="auto"/>
        <w:rPr>
          <w:rFonts w:ascii="Arial" w:eastAsia="Times New Roman" w:hAnsi="Arial" w:cs="Arial"/>
          <w:color w:val="333333"/>
          <w:sz w:val="21"/>
          <w:szCs w:val="21"/>
          <w:highlight w:val="yellow"/>
        </w:rPr>
      </w:pPr>
      <w:r w:rsidRPr="0037416A">
        <w:rPr>
          <w:rFonts w:ascii="Arial" w:eastAsia="Times New Roman" w:hAnsi="Arial" w:cs="Arial"/>
          <w:color w:val="333333"/>
          <w:sz w:val="21"/>
          <w:szCs w:val="21"/>
          <w:highlight w:val="yellow"/>
        </w:rPr>
        <w:t>True</w:t>
      </w:r>
    </w:p>
    <w:p w:rsidR="00832580" w:rsidRPr="00670A00" w:rsidRDefault="00832580" w:rsidP="00832580">
      <w:pPr>
        <w:pStyle w:val="ListParagraph"/>
        <w:numPr>
          <w:ilvl w:val="0"/>
          <w:numId w:val="1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One important aspect of a successful workers' compensation claim is that the employer's fault,  </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negligence, or wrongdoing does not have to be evidenced or proved for the injured employee to be compensated</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1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5B11DE" w:rsidRDefault="00832580" w:rsidP="00832580">
      <w:pPr>
        <w:pStyle w:val="ListParagraph"/>
        <w:numPr>
          <w:ilvl w:val="0"/>
          <w:numId w:val="17"/>
        </w:numPr>
        <w:spacing w:after="0" w:line="240" w:lineRule="auto"/>
        <w:rPr>
          <w:rFonts w:ascii="Arial" w:eastAsia="Times New Roman" w:hAnsi="Arial" w:cs="Arial"/>
          <w:color w:val="333333"/>
          <w:sz w:val="21"/>
          <w:szCs w:val="21"/>
          <w:highlight w:val="yellow"/>
        </w:rPr>
      </w:pPr>
      <w:r w:rsidRPr="005B11DE">
        <w:rPr>
          <w:rFonts w:ascii="Arial" w:eastAsia="Times New Roman" w:hAnsi="Arial" w:cs="Arial"/>
          <w:color w:val="333333"/>
          <w:sz w:val="21"/>
          <w:szCs w:val="21"/>
          <w:highlight w:val="yellow"/>
        </w:rPr>
        <w:t>False</w:t>
      </w:r>
    </w:p>
    <w:p w:rsidR="00832580" w:rsidRPr="00670A00" w:rsidRDefault="00832580" w:rsidP="00832580">
      <w:pPr>
        <w:spacing w:after="0" w:line="240" w:lineRule="auto"/>
        <w:rPr>
          <w:rFonts w:ascii="Arial" w:eastAsia="Times New Roman" w:hAnsi="Arial" w:cs="Arial"/>
          <w:color w:val="000000" w:themeColor="text1"/>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Employers are not required to offer their employees’ health care benefits.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1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5B11DE" w:rsidRDefault="00832580" w:rsidP="00832580">
      <w:pPr>
        <w:pStyle w:val="ListParagraph"/>
        <w:numPr>
          <w:ilvl w:val="0"/>
          <w:numId w:val="19"/>
        </w:numPr>
        <w:spacing w:after="0" w:line="240" w:lineRule="auto"/>
        <w:rPr>
          <w:rFonts w:ascii="Arial" w:eastAsia="Times New Roman" w:hAnsi="Arial" w:cs="Arial"/>
          <w:color w:val="333333"/>
          <w:sz w:val="21"/>
          <w:szCs w:val="21"/>
          <w:highlight w:val="yellow"/>
        </w:rPr>
      </w:pPr>
      <w:r w:rsidRPr="005B11DE">
        <w:rPr>
          <w:rFonts w:ascii="Arial" w:eastAsia="Times New Roman" w:hAnsi="Arial" w:cs="Arial"/>
          <w:color w:val="333333"/>
          <w:sz w:val="21"/>
          <w:szCs w:val="21"/>
          <w:highlight w:val="yellow"/>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Employees who are classified as key employees and take leave are not automatically entitled to Family and Medical Leave Act reinstatement protections and guarantees</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670A00" w:rsidRPr="005B11DE" w:rsidRDefault="00670A00" w:rsidP="00670A00">
      <w:pPr>
        <w:pStyle w:val="ListParagraph"/>
        <w:numPr>
          <w:ilvl w:val="0"/>
          <w:numId w:val="20"/>
        </w:numPr>
        <w:spacing w:after="0" w:line="240" w:lineRule="auto"/>
        <w:rPr>
          <w:rFonts w:ascii="Arial" w:eastAsia="Times New Roman" w:hAnsi="Arial" w:cs="Arial"/>
          <w:bCs/>
          <w:color w:val="333333"/>
          <w:sz w:val="21"/>
          <w:szCs w:val="21"/>
          <w:highlight w:val="yellow"/>
        </w:rPr>
      </w:pPr>
      <w:r w:rsidRPr="005B11DE">
        <w:rPr>
          <w:rFonts w:ascii="Arial" w:eastAsia="Times New Roman" w:hAnsi="Arial" w:cs="Arial"/>
          <w:bCs/>
          <w:color w:val="333333"/>
          <w:sz w:val="21"/>
          <w:szCs w:val="21"/>
          <w:highlight w:val="yellow"/>
        </w:rPr>
        <w:t>False</w:t>
      </w:r>
    </w:p>
    <w:p w:rsidR="00670A00" w:rsidRDefault="00670A00" w:rsidP="00670A00">
      <w:pPr>
        <w:spacing w:after="0" w:line="240" w:lineRule="auto"/>
        <w:rPr>
          <w:rFonts w:ascii="Arial" w:eastAsia="Times New Roman" w:hAnsi="Arial" w:cs="Arial"/>
          <w:bCs/>
          <w:color w:val="333333"/>
          <w:sz w:val="21"/>
          <w:szCs w:val="21"/>
        </w:rPr>
      </w:pPr>
    </w:p>
    <w:p w:rsidR="00670A00" w:rsidRPr="00670A00" w:rsidRDefault="00670A00" w:rsidP="00670A00">
      <w:pPr>
        <w:spacing w:after="0" w:line="240" w:lineRule="auto"/>
        <w:rPr>
          <w:rFonts w:ascii="Arial" w:eastAsia="Times New Roman" w:hAnsi="Arial" w:cs="Arial"/>
          <w:bCs/>
          <w:color w:val="333333"/>
          <w:sz w:val="21"/>
          <w:szCs w:val="21"/>
        </w:rPr>
      </w:pP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The Social Security Act is funded through mandatory employment taxes paid by both the employer and the employee</w:t>
      </w:r>
      <w:r w:rsidRPr="00670A00">
        <w:rPr>
          <w:rFonts w:ascii="Arial" w:eastAsia="Times New Roman" w:hAnsi="Arial" w:cs="Arial"/>
          <w:color w:val="6B6B6B"/>
          <w:sz w:val="21"/>
          <w:szCs w:val="21"/>
        </w:rPr>
        <w:t>.</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37416A" w:rsidRDefault="00832580" w:rsidP="00832580">
      <w:pPr>
        <w:pStyle w:val="ListParagraph"/>
        <w:numPr>
          <w:ilvl w:val="0"/>
          <w:numId w:val="21"/>
        </w:numPr>
        <w:spacing w:after="0" w:line="240" w:lineRule="auto"/>
        <w:rPr>
          <w:rFonts w:ascii="Arial" w:eastAsia="Times New Roman" w:hAnsi="Arial" w:cs="Arial"/>
          <w:bCs/>
          <w:color w:val="333333"/>
          <w:sz w:val="21"/>
          <w:szCs w:val="21"/>
          <w:highlight w:val="yellow"/>
        </w:rPr>
      </w:pPr>
      <w:r w:rsidRPr="0037416A">
        <w:rPr>
          <w:rFonts w:ascii="Arial" w:eastAsia="Times New Roman" w:hAnsi="Arial" w:cs="Arial"/>
          <w:bCs/>
          <w:color w:val="333333"/>
          <w:sz w:val="21"/>
          <w:szCs w:val="21"/>
          <w:highlight w:val="yellow"/>
        </w:rPr>
        <w:t>True</w:t>
      </w:r>
    </w:p>
    <w:p w:rsidR="00832580" w:rsidRPr="0037416A" w:rsidRDefault="00832580" w:rsidP="00832580">
      <w:pPr>
        <w:pStyle w:val="ListParagraph"/>
        <w:numPr>
          <w:ilvl w:val="0"/>
          <w:numId w:val="21"/>
        </w:numPr>
        <w:spacing w:after="0" w:line="240" w:lineRule="auto"/>
        <w:rPr>
          <w:rFonts w:ascii="Arial" w:eastAsia="Times New Roman" w:hAnsi="Arial" w:cs="Arial"/>
          <w:color w:val="333333"/>
          <w:sz w:val="21"/>
          <w:szCs w:val="21"/>
        </w:rPr>
      </w:pPr>
      <w:r w:rsidRPr="0037416A">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16"/>
          <w:szCs w:val="16"/>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Conditions in American industrial plants have always been safe and humane with regard to the treatment of workers.</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5B11DE" w:rsidRDefault="00832580" w:rsidP="00832580">
      <w:pPr>
        <w:pStyle w:val="ListParagraph"/>
        <w:numPr>
          <w:ilvl w:val="0"/>
          <w:numId w:val="22"/>
        </w:numPr>
        <w:spacing w:after="0" w:line="240" w:lineRule="auto"/>
        <w:rPr>
          <w:rFonts w:ascii="Arial" w:eastAsia="Times New Roman" w:hAnsi="Arial" w:cs="Arial"/>
          <w:bCs/>
          <w:color w:val="333333"/>
          <w:sz w:val="21"/>
          <w:szCs w:val="21"/>
          <w:highlight w:val="yellow"/>
        </w:rPr>
      </w:pPr>
      <w:r w:rsidRPr="005B11DE">
        <w:rPr>
          <w:rFonts w:ascii="Arial" w:eastAsia="Times New Roman" w:hAnsi="Arial" w:cs="Arial"/>
          <w:bCs/>
          <w:color w:val="333333"/>
          <w:sz w:val="21"/>
          <w:szCs w:val="21"/>
          <w:highlight w:val="yellow"/>
        </w:rPr>
        <w:t>False</w:t>
      </w: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Workers' compensation provides benefits for workers who are injured on the job.</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5B11DE" w:rsidRDefault="00832580" w:rsidP="00832580">
      <w:pPr>
        <w:pStyle w:val="ListParagraph"/>
        <w:numPr>
          <w:ilvl w:val="0"/>
          <w:numId w:val="23"/>
        </w:numPr>
        <w:spacing w:after="0" w:line="240" w:lineRule="auto"/>
        <w:rPr>
          <w:rFonts w:ascii="Arial" w:eastAsia="Times New Roman" w:hAnsi="Arial" w:cs="Arial"/>
          <w:bCs/>
          <w:color w:val="333333"/>
          <w:sz w:val="21"/>
          <w:szCs w:val="21"/>
          <w:highlight w:val="yellow"/>
        </w:rPr>
      </w:pPr>
      <w:r w:rsidRPr="005B11DE">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2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6B6B6B"/>
          <w:sz w:val="16"/>
          <w:szCs w:val="16"/>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Jan has been fired by her employer for poor job performance. Jan is still entitled to apply for and receive employer-provided health care coverage under provisions of the Consolidated Omnibus Budget Reconciliation Act (COBRA</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4"/>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334CF6" w:rsidRDefault="00832580" w:rsidP="00832580">
      <w:pPr>
        <w:pStyle w:val="ListParagraph"/>
        <w:numPr>
          <w:ilvl w:val="0"/>
          <w:numId w:val="24"/>
        </w:numPr>
        <w:spacing w:after="0" w:line="240" w:lineRule="auto"/>
        <w:rPr>
          <w:rFonts w:ascii="Arial" w:eastAsia="Times New Roman" w:hAnsi="Arial" w:cs="Arial"/>
          <w:color w:val="333333"/>
          <w:sz w:val="21"/>
          <w:szCs w:val="21"/>
          <w:highlight w:val="yellow"/>
        </w:rPr>
      </w:pPr>
      <w:r w:rsidRPr="00334CF6">
        <w:rPr>
          <w:rFonts w:ascii="Arial" w:eastAsia="Times New Roman" w:hAnsi="Arial" w:cs="Arial"/>
          <w:color w:val="333333"/>
          <w:sz w:val="21"/>
          <w:szCs w:val="21"/>
          <w:highlight w:val="yellow"/>
        </w:rPr>
        <w:t>False</w:t>
      </w:r>
    </w:p>
    <w:p w:rsidR="00832580" w:rsidRPr="00670A00" w:rsidRDefault="00832580" w:rsidP="00832580">
      <w:pPr>
        <w:spacing w:after="0"/>
        <w:rPr>
          <w:bCs/>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Leah is a first-year elementary school teacher at a private religious school. The parents and kids love her, and she gets along with everyone. One month after starting, she is called into the headmaster's office and handed an envelope containing spring-break college photos of her topless, guzzling beer and alcohol, while sitting in various men's laps. The headmaster informs her that she is terminated immediately and that she must clean out her desk and remove all of her personal belongings by the end of the day. She demands to know where the headmaster found these photos, and he tells her that the school monitors social networking sites. These pictures had been posted to a website she no longer uses and had forgotten about. She will be successful if she sues for wrongful termination based on invasion of privacy.</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5B11DE" w:rsidRDefault="00832580" w:rsidP="00832580">
      <w:pPr>
        <w:pStyle w:val="ListParagraph"/>
        <w:numPr>
          <w:ilvl w:val="0"/>
          <w:numId w:val="25"/>
        </w:numPr>
        <w:spacing w:after="0" w:line="240" w:lineRule="auto"/>
        <w:rPr>
          <w:rFonts w:ascii="Arial" w:eastAsia="Times New Roman" w:hAnsi="Arial" w:cs="Arial"/>
          <w:color w:val="333333"/>
          <w:sz w:val="21"/>
          <w:szCs w:val="21"/>
          <w:highlight w:val="yellow"/>
        </w:rPr>
      </w:pPr>
      <w:r w:rsidRPr="005B11DE">
        <w:rPr>
          <w:rFonts w:ascii="Arial" w:eastAsia="Times New Roman" w:hAnsi="Arial" w:cs="Arial"/>
          <w:color w:val="333333"/>
          <w:sz w:val="21"/>
          <w:szCs w:val="21"/>
          <w:highlight w:val="yellow"/>
        </w:rPr>
        <w:t>True</w:t>
      </w:r>
    </w:p>
    <w:p w:rsidR="00832580" w:rsidRPr="00670A00" w:rsidRDefault="00832580" w:rsidP="00832580">
      <w:pPr>
        <w:pStyle w:val="ListParagraph"/>
        <w:numPr>
          <w:ilvl w:val="0"/>
          <w:numId w:val="2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rPr>
          <w:bCs/>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In </w:t>
      </w:r>
      <w:r w:rsidRPr="00670A00">
        <w:rPr>
          <w:rFonts w:ascii="Arial" w:eastAsia="Times New Roman" w:hAnsi="Arial" w:cs="Arial"/>
          <w:i/>
          <w:iCs/>
          <w:color w:val="000000" w:themeColor="text1"/>
          <w:sz w:val="21"/>
          <w:szCs w:val="21"/>
        </w:rPr>
        <w:t>NLRB v. Midwestern Personnel Services Inc.</w:t>
      </w:r>
      <w:r w:rsidRPr="00670A00">
        <w:rPr>
          <w:rFonts w:ascii="Arial" w:eastAsia="Times New Roman" w:hAnsi="Arial" w:cs="Arial"/>
          <w:color w:val="000000" w:themeColor="text1"/>
          <w:sz w:val="21"/>
          <w:szCs w:val="21"/>
        </w:rPr>
        <w:t>, the court agreed with the NLRB position, saying that unfair labor practice strikes do not lose their character when economic motives contribute to their cause and that they remain unfair labor practice strikes as long as employees are motivated in part by unfair labor practices.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115B9B" w:rsidRDefault="00832580" w:rsidP="00832580">
      <w:pPr>
        <w:pStyle w:val="ListParagraph"/>
        <w:numPr>
          <w:ilvl w:val="0"/>
          <w:numId w:val="26"/>
        </w:numPr>
        <w:spacing w:after="0" w:line="240" w:lineRule="auto"/>
        <w:rPr>
          <w:rFonts w:ascii="Arial" w:eastAsia="Times New Roman" w:hAnsi="Arial" w:cs="Arial"/>
          <w:bCs/>
          <w:color w:val="333333"/>
          <w:sz w:val="21"/>
          <w:szCs w:val="21"/>
          <w:highlight w:val="yellow"/>
        </w:rPr>
      </w:pPr>
      <w:r w:rsidRPr="00115B9B">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2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rPr>
          <w:bCs/>
          <w:color w:val="000000" w:themeColor="text1"/>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Fair Labor Standards Act does not cover all employees.</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16"/>
          <w:szCs w:val="16"/>
        </w:rPr>
      </w:pPr>
    </w:p>
    <w:p w:rsidR="00832580" w:rsidRPr="005B11DE" w:rsidRDefault="00832580" w:rsidP="00832580">
      <w:pPr>
        <w:pStyle w:val="ListParagraph"/>
        <w:numPr>
          <w:ilvl w:val="0"/>
          <w:numId w:val="27"/>
        </w:numPr>
        <w:spacing w:after="0" w:line="240" w:lineRule="auto"/>
        <w:rPr>
          <w:rFonts w:ascii="Arial" w:eastAsia="Times New Roman" w:hAnsi="Arial" w:cs="Arial"/>
          <w:bCs/>
          <w:color w:val="333333"/>
          <w:sz w:val="21"/>
          <w:szCs w:val="21"/>
          <w:highlight w:val="yellow"/>
        </w:rPr>
      </w:pPr>
      <w:r w:rsidRPr="005B11DE">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2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If a worker dies before retirement, all Social Security benefits are forfeited and no benefits are paid to anyone.</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16"/>
          <w:szCs w:val="16"/>
        </w:rPr>
      </w:pPr>
    </w:p>
    <w:p w:rsidR="00832580" w:rsidRPr="0037416A" w:rsidRDefault="00832580" w:rsidP="00832580">
      <w:pPr>
        <w:pStyle w:val="ListParagraph"/>
        <w:numPr>
          <w:ilvl w:val="0"/>
          <w:numId w:val="28"/>
        </w:numPr>
        <w:spacing w:after="0" w:line="240" w:lineRule="auto"/>
        <w:rPr>
          <w:rFonts w:ascii="Arial" w:eastAsia="Times New Roman" w:hAnsi="Arial" w:cs="Arial"/>
          <w:color w:val="333333"/>
          <w:sz w:val="21"/>
          <w:szCs w:val="21"/>
        </w:rPr>
      </w:pPr>
      <w:r w:rsidRPr="0037416A">
        <w:rPr>
          <w:rFonts w:ascii="Arial" w:eastAsia="Times New Roman" w:hAnsi="Arial" w:cs="Arial"/>
          <w:color w:val="333333"/>
          <w:sz w:val="21"/>
          <w:szCs w:val="21"/>
        </w:rPr>
        <w:t>True</w:t>
      </w:r>
    </w:p>
    <w:p w:rsidR="00832580" w:rsidRPr="0037416A" w:rsidRDefault="00832580" w:rsidP="00832580">
      <w:pPr>
        <w:pStyle w:val="ListParagraph"/>
        <w:numPr>
          <w:ilvl w:val="0"/>
          <w:numId w:val="28"/>
        </w:numPr>
        <w:spacing w:after="0" w:line="240" w:lineRule="auto"/>
        <w:rPr>
          <w:rFonts w:ascii="Arial" w:eastAsia="Times New Roman" w:hAnsi="Arial" w:cs="Arial"/>
          <w:bCs/>
          <w:color w:val="333333"/>
          <w:sz w:val="21"/>
          <w:szCs w:val="21"/>
          <w:highlight w:val="yellow"/>
        </w:rPr>
      </w:pPr>
      <w:r w:rsidRPr="0037416A">
        <w:rPr>
          <w:rFonts w:ascii="Arial" w:eastAsia="Times New Roman" w:hAnsi="Arial" w:cs="Arial"/>
          <w:bCs/>
          <w:color w:val="333333"/>
          <w:sz w:val="21"/>
          <w:szCs w:val="21"/>
          <w:highlight w:val="yellow"/>
        </w:rPr>
        <w:t>False</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14. When an employee takes leave pursuant to the Family and Medical Leave Act, seniority must continue to accrue and will be applied as if the employee were not on leave.</w:t>
      </w:r>
    </w:p>
    <w:p w:rsidR="00832580" w:rsidRPr="00334CF6" w:rsidRDefault="00832580" w:rsidP="00832580">
      <w:pPr>
        <w:pStyle w:val="ListParagraph"/>
        <w:numPr>
          <w:ilvl w:val="0"/>
          <w:numId w:val="29"/>
        </w:numPr>
        <w:spacing w:after="0" w:line="240" w:lineRule="auto"/>
        <w:rPr>
          <w:rFonts w:ascii="Arial" w:eastAsia="Times New Roman" w:hAnsi="Arial" w:cs="Arial"/>
          <w:color w:val="333333"/>
          <w:sz w:val="21"/>
          <w:szCs w:val="21"/>
          <w:highlight w:val="yellow"/>
        </w:rPr>
      </w:pPr>
      <w:r w:rsidRPr="00334CF6">
        <w:rPr>
          <w:rFonts w:ascii="Arial" w:eastAsia="Times New Roman" w:hAnsi="Arial" w:cs="Arial"/>
          <w:color w:val="333333"/>
          <w:sz w:val="21"/>
          <w:szCs w:val="21"/>
          <w:highlight w:val="yellow"/>
        </w:rPr>
        <w:t>True</w:t>
      </w:r>
    </w:p>
    <w:p w:rsidR="00832580" w:rsidRPr="00670A00" w:rsidRDefault="00832580" w:rsidP="00DE00F1">
      <w:pPr>
        <w:pStyle w:val="ListParagraph"/>
        <w:numPr>
          <w:ilvl w:val="0"/>
          <w:numId w:val="29"/>
        </w:numPr>
        <w:spacing w:after="0" w:line="240" w:lineRule="auto"/>
        <w:rPr>
          <w:bCs/>
          <w:u w:val="single"/>
        </w:rPr>
      </w:pPr>
      <w:r w:rsidRPr="00670A00">
        <w:rPr>
          <w:rFonts w:ascii="Arial" w:eastAsia="Times New Roman" w:hAnsi="Arial" w:cs="Arial"/>
          <w:bCs/>
          <w:color w:val="333333"/>
          <w:sz w:val="21"/>
          <w:szCs w:val="21"/>
        </w:rPr>
        <w:t>False</w:t>
      </w:r>
    </w:p>
    <w:p w:rsidR="00832580" w:rsidRDefault="00832580" w:rsidP="00832580">
      <w:pPr>
        <w:jc w:val="center"/>
        <w:rPr>
          <w:b/>
          <w:bCs/>
          <w:u w:val="single"/>
        </w:rPr>
      </w:pPr>
      <w:r>
        <w:rPr>
          <w:b/>
          <w:bCs/>
          <w:u w:val="single"/>
        </w:rPr>
        <w:t>Chapter 12</w:t>
      </w: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mandate given to the Equal Employment Opportunity Commission is that the commission is required to pursue any discrimination-based claims made by aggrieved employees.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334CF6" w:rsidRDefault="00832580" w:rsidP="00832580">
      <w:pPr>
        <w:pStyle w:val="ListParagraph"/>
        <w:numPr>
          <w:ilvl w:val="0"/>
          <w:numId w:val="30"/>
        </w:numPr>
        <w:spacing w:after="0" w:line="240" w:lineRule="auto"/>
        <w:rPr>
          <w:rFonts w:ascii="Arial" w:eastAsia="Times New Roman" w:hAnsi="Arial" w:cs="Arial"/>
          <w:color w:val="333333"/>
          <w:sz w:val="21"/>
          <w:szCs w:val="21"/>
          <w:highlight w:val="yellow"/>
        </w:rPr>
      </w:pPr>
      <w:r w:rsidRPr="00334CF6">
        <w:rPr>
          <w:rFonts w:ascii="Arial" w:eastAsia="Times New Roman" w:hAnsi="Arial" w:cs="Arial"/>
          <w:color w:val="333333"/>
          <w:sz w:val="21"/>
          <w:szCs w:val="21"/>
          <w:highlight w:val="yellow"/>
        </w:rPr>
        <w:t>True</w:t>
      </w:r>
    </w:p>
    <w:p w:rsidR="00832580" w:rsidRPr="00670A00" w:rsidRDefault="00832580" w:rsidP="00832580">
      <w:pPr>
        <w:pStyle w:val="ListParagraph"/>
        <w:numPr>
          <w:ilvl w:val="0"/>
          <w:numId w:val="3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Stephen is 40 years old and has applied for a job at a large computer game development company. He is told that he is "over the hill" and not eligible for employment at that company. Stephen does not have a valid age discrimination suit under the Age Discrimination in Employment Act because the act applies only to those already employed, not to applicants in the hiring process.</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334CF6" w:rsidRDefault="00832580" w:rsidP="00832580">
      <w:pPr>
        <w:pStyle w:val="ListParagraph"/>
        <w:numPr>
          <w:ilvl w:val="0"/>
          <w:numId w:val="31"/>
        </w:numPr>
        <w:spacing w:after="0" w:line="240" w:lineRule="auto"/>
        <w:rPr>
          <w:rFonts w:ascii="Arial" w:eastAsia="Times New Roman" w:hAnsi="Arial" w:cs="Arial"/>
          <w:bCs/>
          <w:color w:val="333333"/>
          <w:sz w:val="21"/>
          <w:szCs w:val="21"/>
          <w:highlight w:val="yellow"/>
        </w:rPr>
      </w:pPr>
      <w:r w:rsidRPr="00334CF6">
        <w:rPr>
          <w:rFonts w:ascii="Arial" w:eastAsia="Times New Roman" w:hAnsi="Arial" w:cs="Arial"/>
          <w:bCs/>
          <w:color w:val="333333"/>
          <w:sz w:val="21"/>
          <w:szCs w:val="21"/>
          <w:highlight w:val="yellow"/>
        </w:rPr>
        <w:t>False</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Bella suspects that she was turned down for a job as a server at Hooters because she is 40 pounds’ overweight. She may contact the EEOC, which will investigate her case based on a Title VII violation.</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37416A" w:rsidRDefault="00832580" w:rsidP="00832580">
      <w:pPr>
        <w:pStyle w:val="ListParagraph"/>
        <w:numPr>
          <w:ilvl w:val="0"/>
          <w:numId w:val="32"/>
        </w:numPr>
        <w:spacing w:after="0" w:line="240" w:lineRule="auto"/>
        <w:rPr>
          <w:rFonts w:ascii="Arial" w:eastAsia="Times New Roman" w:hAnsi="Arial" w:cs="Arial"/>
          <w:bCs/>
          <w:color w:val="333333"/>
          <w:sz w:val="21"/>
          <w:szCs w:val="21"/>
          <w:highlight w:val="yellow"/>
        </w:rPr>
      </w:pPr>
      <w:r w:rsidRPr="0037416A">
        <w:rPr>
          <w:rFonts w:ascii="Arial" w:eastAsia="Times New Roman" w:hAnsi="Arial" w:cs="Arial"/>
          <w:bCs/>
          <w:color w:val="333333"/>
          <w:sz w:val="21"/>
          <w:szCs w:val="21"/>
          <w:highlight w:val="yellow"/>
        </w:rPr>
        <w:t>False</w:t>
      </w:r>
    </w:p>
    <w:p w:rsidR="00832580" w:rsidRPr="00670A00" w:rsidRDefault="00832580" w:rsidP="00832580">
      <w:pPr>
        <w:spacing w:after="0" w:line="240" w:lineRule="auto"/>
        <w:rPr>
          <w:rFonts w:ascii="Arial" w:eastAsia="Times New Roman" w:hAnsi="Arial" w:cs="Arial"/>
          <w:bCs/>
          <w:color w:val="333333"/>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An employee has filed a claim of discrimination with the EEOC. If the EEOC investigates and determines that it will not follow through with a lawsuit representing the employee, the employee has no recourse and cannot file a private lawsuit.</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334CF6" w:rsidRDefault="00832580" w:rsidP="00832580">
      <w:pPr>
        <w:pStyle w:val="ListParagraph"/>
        <w:numPr>
          <w:ilvl w:val="0"/>
          <w:numId w:val="33"/>
        </w:numPr>
        <w:spacing w:after="0" w:line="240" w:lineRule="auto"/>
        <w:rPr>
          <w:rFonts w:ascii="Arial" w:eastAsia="Times New Roman" w:hAnsi="Arial" w:cs="Arial"/>
          <w:bCs/>
          <w:color w:val="333333"/>
          <w:sz w:val="21"/>
          <w:szCs w:val="21"/>
          <w:highlight w:val="yellow"/>
        </w:rPr>
      </w:pPr>
      <w:r w:rsidRPr="00334CF6">
        <w:rPr>
          <w:rFonts w:ascii="Arial" w:eastAsia="Times New Roman" w:hAnsi="Arial" w:cs="Arial"/>
          <w:bCs/>
          <w:color w:val="333333"/>
          <w:sz w:val="21"/>
          <w:szCs w:val="21"/>
          <w:highlight w:val="yellow"/>
        </w:rPr>
        <w:t>False</w:t>
      </w:r>
    </w:p>
    <w:p w:rsidR="00832580" w:rsidRPr="00670A00" w:rsidRDefault="00832580" w:rsidP="00832580">
      <w:pPr>
        <w:spacing w:after="0" w:line="240" w:lineRule="auto"/>
        <w:rPr>
          <w:rFonts w:ascii="Arial" w:eastAsia="Times New Roman" w:hAnsi="Arial" w:cs="Arial"/>
          <w:bCs/>
          <w:color w:val="000000" w:themeColor="text1"/>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Race discrimination directed at white employees violates Title VII if the employer's acts were motivated by race.</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21"/>
          <w:szCs w:val="21"/>
        </w:rPr>
      </w:pPr>
    </w:p>
    <w:p w:rsidR="00832580" w:rsidRPr="00334CF6" w:rsidRDefault="00832580" w:rsidP="00832580">
      <w:pPr>
        <w:pStyle w:val="ListParagraph"/>
        <w:numPr>
          <w:ilvl w:val="0"/>
          <w:numId w:val="35"/>
        </w:numPr>
        <w:spacing w:after="0" w:line="240" w:lineRule="auto"/>
        <w:rPr>
          <w:rFonts w:ascii="Arial" w:eastAsia="Times New Roman" w:hAnsi="Arial" w:cs="Arial"/>
          <w:bCs/>
          <w:color w:val="333333"/>
          <w:sz w:val="21"/>
          <w:szCs w:val="21"/>
          <w:highlight w:val="yellow"/>
        </w:rPr>
      </w:pPr>
      <w:r w:rsidRPr="00334CF6">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3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Federal laws concerning discrimination expressly preempt state laws and prohibit states from imposing additional obligations and legal responsibilities on employers not covered under the federal statutes.</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946483" w:rsidRDefault="00832580" w:rsidP="00832580">
      <w:pPr>
        <w:pStyle w:val="ListParagraph"/>
        <w:numPr>
          <w:ilvl w:val="0"/>
          <w:numId w:val="36"/>
        </w:numPr>
        <w:spacing w:after="0" w:line="240" w:lineRule="auto"/>
        <w:rPr>
          <w:rFonts w:ascii="Arial" w:eastAsia="Times New Roman" w:hAnsi="Arial" w:cs="Arial"/>
          <w:bCs/>
          <w:color w:val="333333"/>
          <w:sz w:val="21"/>
          <w:szCs w:val="21"/>
          <w:highlight w:val="yellow"/>
        </w:rPr>
      </w:pPr>
      <w:r w:rsidRPr="00946483">
        <w:rPr>
          <w:rFonts w:ascii="Arial" w:eastAsia="Times New Roman" w:hAnsi="Arial" w:cs="Arial"/>
          <w:bCs/>
          <w:color w:val="333333"/>
          <w:sz w:val="21"/>
          <w:szCs w:val="21"/>
          <w:highlight w:val="yellow"/>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Equal Employment Opportunity Commission enjoys rulemaking as well as enforcement powers.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946483" w:rsidRDefault="00832580" w:rsidP="00832580">
      <w:pPr>
        <w:pStyle w:val="ListParagraph"/>
        <w:numPr>
          <w:ilvl w:val="0"/>
          <w:numId w:val="37"/>
        </w:numPr>
        <w:spacing w:after="0" w:line="240" w:lineRule="auto"/>
        <w:rPr>
          <w:rFonts w:ascii="Arial" w:eastAsia="Times New Roman" w:hAnsi="Arial" w:cs="Arial"/>
          <w:bCs/>
          <w:color w:val="333333"/>
          <w:sz w:val="21"/>
          <w:szCs w:val="21"/>
          <w:highlight w:val="yellow"/>
        </w:rPr>
      </w:pPr>
      <w:r w:rsidRPr="00946483">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3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Disparate impact claims under the Age Discrimination in Employment Act do not require that the employer prove a business necessity in order to defend its actions.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8"/>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946483" w:rsidRDefault="00832580" w:rsidP="00832580">
      <w:pPr>
        <w:pStyle w:val="ListParagraph"/>
        <w:numPr>
          <w:ilvl w:val="0"/>
          <w:numId w:val="38"/>
        </w:numPr>
        <w:spacing w:after="0" w:line="240" w:lineRule="auto"/>
        <w:rPr>
          <w:rFonts w:ascii="Arial" w:eastAsia="Times New Roman" w:hAnsi="Arial" w:cs="Arial"/>
          <w:color w:val="333333"/>
          <w:sz w:val="21"/>
          <w:szCs w:val="21"/>
          <w:highlight w:val="yellow"/>
        </w:rPr>
      </w:pPr>
      <w:r w:rsidRPr="00946483">
        <w:rPr>
          <w:rFonts w:ascii="Arial" w:eastAsia="Times New Roman" w:hAnsi="Arial" w:cs="Arial"/>
          <w:color w:val="333333"/>
          <w:sz w:val="21"/>
          <w:szCs w:val="21"/>
          <w:highlight w:val="yellow"/>
        </w:rPr>
        <w:t>False</w:t>
      </w: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Intent to discriminate must be proved for a disparate impact case to be successful.</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946483" w:rsidRDefault="00832580" w:rsidP="00832580">
      <w:pPr>
        <w:pStyle w:val="ListParagraph"/>
        <w:numPr>
          <w:ilvl w:val="0"/>
          <w:numId w:val="39"/>
        </w:numPr>
        <w:spacing w:after="0" w:line="240" w:lineRule="auto"/>
        <w:rPr>
          <w:rFonts w:ascii="Arial" w:eastAsia="Times New Roman" w:hAnsi="Arial" w:cs="Arial"/>
          <w:color w:val="333333"/>
          <w:sz w:val="21"/>
          <w:szCs w:val="21"/>
          <w:highlight w:val="yellow"/>
        </w:rPr>
      </w:pPr>
      <w:r w:rsidRPr="00946483">
        <w:rPr>
          <w:rFonts w:ascii="Arial" w:eastAsia="Times New Roman" w:hAnsi="Arial" w:cs="Arial"/>
          <w:color w:val="333333"/>
          <w:sz w:val="21"/>
          <w:szCs w:val="21"/>
          <w:highlight w:val="yellow"/>
        </w:rPr>
        <w:t>True</w:t>
      </w:r>
    </w:p>
    <w:p w:rsidR="00832580" w:rsidRPr="00670A00" w:rsidRDefault="00832580" w:rsidP="00832580">
      <w:pPr>
        <w:pStyle w:val="ListParagraph"/>
        <w:numPr>
          <w:ilvl w:val="0"/>
          <w:numId w:val="3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Under the Age Discrimination in Employment Act, </w:t>
      </w:r>
      <w:r w:rsidRPr="00670A00">
        <w:rPr>
          <w:rFonts w:ascii="Arial" w:eastAsia="Times New Roman" w:hAnsi="Arial" w:cs="Arial"/>
          <w:i/>
          <w:iCs/>
          <w:color w:val="000000" w:themeColor="text1"/>
          <w:sz w:val="21"/>
          <w:szCs w:val="21"/>
        </w:rPr>
        <w:t>substantially younger</w:t>
      </w:r>
      <w:r w:rsidRPr="00670A00">
        <w:rPr>
          <w:rFonts w:ascii="Arial" w:eastAsia="Times New Roman" w:hAnsi="Arial" w:cs="Arial"/>
          <w:color w:val="000000" w:themeColor="text1"/>
          <w:sz w:val="21"/>
          <w:szCs w:val="21"/>
        </w:rPr>
        <w:t> is not defined, but many courts follow the general rule that the age difference must be 10 years in order to qualify as substantially younger</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946483" w:rsidRDefault="00832580" w:rsidP="00832580">
      <w:pPr>
        <w:pStyle w:val="ListParagraph"/>
        <w:numPr>
          <w:ilvl w:val="0"/>
          <w:numId w:val="40"/>
        </w:numPr>
        <w:spacing w:after="0" w:line="240" w:lineRule="auto"/>
        <w:rPr>
          <w:rFonts w:ascii="Arial" w:eastAsia="Times New Roman" w:hAnsi="Arial" w:cs="Arial"/>
          <w:bCs/>
          <w:color w:val="333333"/>
          <w:sz w:val="21"/>
          <w:szCs w:val="21"/>
          <w:highlight w:val="yellow"/>
        </w:rPr>
      </w:pPr>
      <w:r w:rsidRPr="00946483">
        <w:rPr>
          <w:rFonts w:ascii="Arial" w:eastAsia="Times New Roman" w:hAnsi="Arial" w:cs="Arial"/>
          <w:bCs/>
          <w:color w:val="333333"/>
          <w:sz w:val="21"/>
          <w:szCs w:val="21"/>
          <w:highlight w:val="yellow"/>
        </w:rPr>
        <w:t>True</w:t>
      </w:r>
    </w:p>
    <w:p w:rsidR="00832580" w:rsidRPr="00670A00" w:rsidRDefault="00832580" w:rsidP="00832580">
      <w:pPr>
        <w:pStyle w:val="ListParagraph"/>
        <w:numPr>
          <w:ilvl w:val="0"/>
          <w:numId w:val="4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 person must exhibit some sort of distinctive physical characteristic, obvious to a neutral observer, in order to be considered disabled.</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946483" w:rsidRDefault="00832580" w:rsidP="00832580">
      <w:pPr>
        <w:pStyle w:val="ListParagraph"/>
        <w:numPr>
          <w:ilvl w:val="0"/>
          <w:numId w:val="41"/>
        </w:numPr>
        <w:spacing w:after="0" w:line="240" w:lineRule="auto"/>
        <w:rPr>
          <w:rFonts w:ascii="Arial" w:eastAsia="Times New Roman" w:hAnsi="Arial" w:cs="Arial"/>
          <w:color w:val="333333"/>
          <w:sz w:val="21"/>
          <w:szCs w:val="21"/>
          <w:highlight w:val="yellow"/>
        </w:rPr>
      </w:pPr>
      <w:r w:rsidRPr="00946483">
        <w:rPr>
          <w:rFonts w:ascii="Arial" w:eastAsia="Times New Roman" w:hAnsi="Arial" w:cs="Arial"/>
          <w:color w:val="333333"/>
          <w:sz w:val="21"/>
          <w:szCs w:val="21"/>
          <w:highlight w:val="yellow"/>
        </w:rPr>
        <w:t>True</w:t>
      </w:r>
    </w:p>
    <w:p w:rsidR="00832580" w:rsidRPr="00670A00" w:rsidRDefault="00832580" w:rsidP="00832580">
      <w:pPr>
        <w:pStyle w:val="ListParagraph"/>
        <w:numPr>
          <w:ilvl w:val="0"/>
          <w:numId w:val="4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Under the Age Discrimination in Employment Act, to maintain a valid claim, the replacement employee must be substantially younger than the terminated employee and must be a member of a recognized protected class.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946483" w:rsidRDefault="00832580" w:rsidP="00832580">
      <w:pPr>
        <w:pStyle w:val="ListParagraph"/>
        <w:numPr>
          <w:ilvl w:val="0"/>
          <w:numId w:val="42"/>
        </w:numPr>
        <w:spacing w:after="0" w:line="240" w:lineRule="auto"/>
        <w:rPr>
          <w:rFonts w:ascii="Arial" w:eastAsia="Times New Roman" w:hAnsi="Arial" w:cs="Arial"/>
          <w:bCs/>
          <w:color w:val="333333"/>
          <w:sz w:val="21"/>
          <w:szCs w:val="21"/>
          <w:highlight w:val="yellow"/>
        </w:rPr>
      </w:pPr>
      <w:r w:rsidRPr="00946483">
        <w:rPr>
          <w:rFonts w:ascii="Arial" w:eastAsia="Times New Roman" w:hAnsi="Arial" w:cs="Arial"/>
          <w:bCs/>
          <w:color w:val="333333"/>
          <w:sz w:val="21"/>
          <w:szCs w:val="21"/>
          <w:highlight w:val="yellow"/>
        </w:rPr>
        <w:t>False</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34"/>
        </w:numPr>
        <w:spacing w:after="0"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Emmanuelle has been the subject of intense and continuous hostile environment sexual harassment over a period of months. If she quits before filing a complaint with the EEOC, she forfeits the right to file the complaint and seek damages.</w:t>
      </w:r>
      <w:r w:rsidRPr="00670A00">
        <w:rPr>
          <w:rFonts w:ascii="Arial" w:eastAsia="Times New Roman" w:hAnsi="Arial" w:cs="Arial"/>
          <w:color w:val="6B6B6B"/>
          <w:sz w:val="21"/>
          <w:szCs w:val="21"/>
        </w:rPr>
        <w:br w:type="textWrapping" w:clear="all"/>
      </w:r>
    </w:p>
    <w:p w:rsidR="00832580" w:rsidRPr="00670A00" w:rsidRDefault="00832580" w:rsidP="00832580">
      <w:pPr>
        <w:pStyle w:val="ListParagraph"/>
        <w:numPr>
          <w:ilvl w:val="0"/>
          <w:numId w:val="4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946483" w:rsidRDefault="00832580" w:rsidP="00832580">
      <w:pPr>
        <w:pStyle w:val="ListParagraph"/>
        <w:numPr>
          <w:ilvl w:val="0"/>
          <w:numId w:val="43"/>
        </w:numPr>
        <w:spacing w:after="0" w:line="240" w:lineRule="auto"/>
        <w:rPr>
          <w:rFonts w:ascii="Arial" w:eastAsia="Times New Roman" w:hAnsi="Arial" w:cs="Arial"/>
          <w:bCs/>
          <w:color w:val="333333"/>
          <w:sz w:val="21"/>
          <w:szCs w:val="21"/>
          <w:highlight w:val="yellow"/>
        </w:rPr>
      </w:pPr>
      <w:r w:rsidRPr="00946483">
        <w:rPr>
          <w:rFonts w:ascii="Arial" w:eastAsia="Times New Roman" w:hAnsi="Arial" w:cs="Arial"/>
          <w:bCs/>
          <w:color w:val="333333"/>
          <w:sz w:val="21"/>
          <w:szCs w:val="21"/>
          <w:highlight w:val="yellow"/>
        </w:rPr>
        <w:t>False</w:t>
      </w:r>
    </w:p>
    <w:p w:rsidR="00832580" w:rsidRDefault="00832580" w:rsidP="00832580">
      <w:pPr>
        <w:jc w:val="center"/>
        <w:rPr>
          <w:b/>
          <w:bCs/>
          <w:u w:val="single"/>
        </w:rPr>
      </w:pPr>
      <w:r w:rsidRPr="00907056">
        <w:rPr>
          <w:b/>
          <w:bCs/>
          <w:u w:val="single"/>
        </w:rPr>
        <w:t>Chapter 13</w:t>
      </w: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 sole proprietorship ____.</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946483" w:rsidRDefault="00832580" w:rsidP="00832580">
      <w:pPr>
        <w:pStyle w:val="ListParagraph"/>
        <w:numPr>
          <w:ilvl w:val="0"/>
          <w:numId w:val="45"/>
        </w:numPr>
        <w:spacing w:after="0" w:line="240" w:lineRule="auto"/>
        <w:rPr>
          <w:rFonts w:ascii="Arial" w:eastAsia="Times New Roman" w:hAnsi="Arial" w:cs="Arial"/>
          <w:color w:val="333333"/>
          <w:sz w:val="21"/>
          <w:szCs w:val="21"/>
          <w:highlight w:val="yellow"/>
        </w:rPr>
      </w:pPr>
      <w:r w:rsidRPr="00946483">
        <w:rPr>
          <w:rFonts w:ascii="Arial" w:eastAsia="Times New Roman" w:hAnsi="Arial" w:cs="Arial"/>
          <w:bCs/>
          <w:color w:val="333333"/>
          <w:sz w:val="21"/>
          <w:szCs w:val="21"/>
          <w:highlight w:val="yellow"/>
        </w:rPr>
        <w:t>is not subject to corporate income taxation</w:t>
      </w:r>
      <w:r w:rsidRPr="00946483">
        <w:rPr>
          <w:rFonts w:ascii="Arial" w:eastAsia="Times New Roman" w:hAnsi="Arial" w:cs="Arial"/>
          <w:color w:val="333333"/>
          <w:sz w:val="21"/>
          <w:szCs w:val="21"/>
          <w:highlight w:val="yellow"/>
        </w:rPr>
        <w:t>.</w:t>
      </w:r>
    </w:p>
    <w:p w:rsidR="00832580" w:rsidRPr="00670A0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has unlimited options for raising money.</w:t>
      </w:r>
    </w:p>
    <w:p w:rsidR="00832580" w:rsidRPr="00670A0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is not characterized by personal debts or liabilities.</w:t>
      </w:r>
    </w:p>
    <w:p w:rsidR="0083258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can only hire a certain number of employees.</w:t>
      </w:r>
    </w:p>
    <w:p w:rsidR="00670A00" w:rsidRPr="00670A00" w:rsidRDefault="00670A00" w:rsidP="00670A00">
      <w:pPr>
        <w:pStyle w:val="ListParagraph"/>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General partnerships can be funded in a number of ways, </w:t>
      </w:r>
      <w:r w:rsidRPr="00670A00">
        <w:rPr>
          <w:rFonts w:ascii="Arial" w:eastAsia="Times New Roman" w:hAnsi="Arial" w:cs="Arial"/>
          <w:i/>
          <w:iCs/>
          <w:color w:val="000000" w:themeColor="text1"/>
          <w:sz w:val="21"/>
          <w:szCs w:val="21"/>
        </w:rPr>
        <w:t>except</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borrowing money from principals.</w:t>
      </w: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borrowing money from a private individual third party.</w:t>
      </w:r>
    </w:p>
    <w:p w:rsidR="00832580" w:rsidRPr="00823332" w:rsidRDefault="00832580" w:rsidP="00832580">
      <w:pPr>
        <w:pStyle w:val="ListParagraph"/>
        <w:numPr>
          <w:ilvl w:val="0"/>
          <w:numId w:val="46"/>
        </w:numPr>
        <w:spacing w:after="0" w:line="240" w:lineRule="auto"/>
        <w:rPr>
          <w:rFonts w:ascii="Arial" w:eastAsia="Times New Roman" w:hAnsi="Arial" w:cs="Arial"/>
          <w:bCs/>
          <w:color w:val="333333"/>
          <w:sz w:val="21"/>
          <w:szCs w:val="21"/>
          <w:highlight w:val="yellow"/>
        </w:rPr>
      </w:pPr>
      <w:r w:rsidRPr="00823332">
        <w:rPr>
          <w:rFonts w:ascii="Arial" w:eastAsia="Times New Roman" w:hAnsi="Arial" w:cs="Arial"/>
          <w:bCs/>
          <w:color w:val="333333"/>
          <w:sz w:val="21"/>
          <w:szCs w:val="21"/>
          <w:highlight w:val="yellow"/>
        </w:rPr>
        <w:t>selling ownership rights through public markets.</w:t>
      </w: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selling a percentage of ownership rights in the partnership</w:t>
      </w: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According to the Revised Uniform Partnership Act (RUPA), when a partner exercises a rightful dissociation, the partner</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has to support the partnership for 6 months after the dissociation.</w:t>
      </w:r>
    </w:p>
    <w:p w:rsidR="00832580" w:rsidRPr="00823332" w:rsidRDefault="00832580" w:rsidP="00832580">
      <w:pPr>
        <w:pStyle w:val="ListParagraph"/>
        <w:numPr>
          <w:ilvl w:val="0"/>
          <w:numId w:val="47"/>
        </w:numPr>
        <w:spacing w:after="0" w:line="240" w:lineRule="auto"/>
        <w:rPr>
          <w:rFonts w:ascii="Arial" w:eastAsia="Times New Roman" w:hAnsi="Arial" w:cs="Arial"/>
          <w:bCs/>
          <w:color w:val="333333"/>
          <w:sz w:val="21"/>
          <w:szCs w:val="21"/>
          <w:highlight w:val="yellow"/>
        </w:rPr>
      </w:pPr>
      <w:r w:rsidRPr="00823332">
        <w:rPr>
          <w:rFonts w:ascii="Arial" w:eastAsia="Times New Roman" w:hAnsi="Arial" w:cs="Arial"/>
          <w:bCs/>
          <w:color w:val="333333"/>
          <w:sz w:val="21"/>
          <w:szCs w:val="21"/>
          <w:highlight w:val="yellow"/>
        </w:rPr>
        <w:t>is no longer liable for debts incurred by the partnership.</w:t>
      </w: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is no longer liable for predissociation liability.</w:t>
      </w: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owes a fiduciary duty to the partnership and remaining principals.</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Which of the following is a drawback of a sole proprietorship?</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is subject to corporate income taxation.</w:t>
      </w:r>
    </w:p>
    <w:p w:rsidR="00832580" w:rsidRPr="00823332" w:rsidRDefault="00832580" w:rsidP="00832580">
      <w:pPr>
        <w:pStyle w:val="ListParagraph"/>
        <w:numPr>
          <w:ilvl w:val="0"/>
          <w:numId w:val="48"/>
        </w:numPr>
        <w:spacing w:after="0" w:line="240" w:lineRule="auto"/>
        <w:rPr>
          <w:rFonts w:ascii="Arial" w:eastAsia="Times New Roman" w:hAnsi="Arial" w:cs="Arial"/>
          <w:bCs/>
          <w:color w:val="333333"/>
          <w:sz w:val="21"/>
          <w:szCs w:val="21"/>
          <w:highlight w:val="yellow"/>
        </w:rPr>
      </w:pPr>
      <w:r w:rsidRPr="00823332">
        <w:rPr>
          <w:rFonts w:ascii="Arial" w:eastAsia="Times New Roman" w:hAnsi="Arial" w:cs="Arial"/>
          <w:bCs/>
          <w:color w:val="333333"/>
          <w:sz w:val="21"/>
          <w:szCs w:val="21"/>
          <w:highlight w:val="yellow"/>
        </w:rPr>
        <w:t>It does not protect the principal's personal assets against the business’ unpaid debts and liabilities.</w:t>
      </w: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is difficult to form and maintain.</w:t>
      </w: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involves a complex initial filing requirement with the appropriate state government authority as well as annual filings.</w:t>
      </w:r>
    </w:p>
    <w:p w:rsidR="00670A00" w:rsidRPr="00670A00" w:rsidRDefault="00670A00" w:rsidP="00670A0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Which of the following statements is true of general partnerships</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503885" w:rsidRDefault="00832580" w:rsidP="00832580">
      <w:pPr>
        <w:pStyle w:val="ListParagraph"/>
        <w:numPr>
          <w:ilvl w:val="0"/>
          <w:numId w:val="49"/>
        </w:numPr>
        <w:spacing w:after="0" w:line="240" w:lineRule="auto"/>
        <w:rPr>
          <w:rFonts w:ascii="Arial" w:eastAsia="Times New Roman" w:hAnsi="Arial" w:cs="Arial"/>
          <w:color w:val="333333"/>
          <w:sz w:val="21"/>
          <w:szCs w:val="21"/>
          <w:highlight w:val="yellow"/>
        </w:rPr>
      </w:pPr>
      <w:r w:rsidRPr="00503885">
        <w:rPr>
          <w:rFonts w:ascii="Arial" w:eastAsia="Times New Roman" w:hAnsi="Arial" w:cs="Arial"/>
          <w:color w:val="333333"/>
          <w:sz w:val="21"/>
          <w:szCs w:val="21"/>
          <w:highlight w:val="yellow"/>
        </w:rPr>
        <w:t>General partners cannot share in the profits of their ongoing business operation.</w:t>
      </w:r>
    </w:p>
    <w:p w:rsidR="00832580" w:rsidRPr="00670A00" w:rsidRDefault="00832580" w:rsidP="00832580">
      <w:pPr>
        <w:pStyle w:val="ListParagraph"/>
        <w:numPr>
          <w:ilvl w:val="0"/>
          <w:numId w:val="4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General partnerships protect their partners' personal assets from the business’ debts and liability.</w:t>
      </w:r>
    </w:p>
    <w:p w:rsidR="00832580" w:rsidRPr="00670A00" w:rsidRDefault="00832580" w:rsidP="00832580">
      <w:pPr>
        <w:pStyle w:val="ListParagraph"/>
        <w:numPr>
          <w:ilvl w:val="0"/>
          <w:numId w:val="4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General partnerships can operate without written agreements.</w:t>
      </w:r>
    </w:p>
    <w:p w:rsidR="00832580" w:rsidRPr="00670A00" w:rsidRDefault="00832580" w:rsidP="00832580">
      <w:pPr>
        <w:pStyle w:val="ListParagraph"/>
        <w:numPr>
          <w:ilvl w:val="0"/>
          <w:numId w:val="4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General partnerships are not governed by the Revised Uniform Limited Partnership Act (RULPA).</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Carmen, Esther, and Dan have a general partnership to operate a construction company. Carmen owns 60% of the company and Esther and Dan each own 20%. A passerby was recently injured at one of their sites and obtained a judgment against the company for her extensive medical bills and other damages. If the business’ assets are insufficient to cover the damages, the general partners' personal assets are at risk</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5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jointly and severally, only if they own more than 50 percent of interest in the partnership.</w:t>
      </w:r>
    </w:p>
    <w:p w:rsidR="00832580" w:rsidRPr="00670A00" w:rsidRDefault="00832580" w:rsidP="00832580">
      <w:pPr>
        <w:pStyle w:val="ListParagraph"/>
        <w:numPr>
          <w:ilvl w:val="0"/>
          <w:numId w:val="5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jointly, if they all own the same percentage of interest in the partnership.</w:t>
      </w:r>
    </w:p>
    <w:p w:rsidR="00832580" w:rsidRPr="00823332" w:rsidRDefault="00832580" w:rsidP="00832580">
      <w:pPr>
        <w:pStyle w:val="ListParagraph"/>
        <w:numPr>
          <w:ilvl w:val="0"/>
          <w:numId w:val="50"/>
        </w:numPr>
        <w:spacing w:after="0" w:line="240" w:lineRule="auto"/>
        <w:rPr>
          <w:rFonts w:ascii="Arial" w:eastAsia="Times New Roman" w:hAnsi="Arial" w:cs="Arial"/>
          <w:color w:val="333333"/>
          <w:sz w:val="21"/>
          <w:szCs w:val="21"/>
          <w:highlight w:val="yellow"/>
        </w:rPr>
      </w:pPr>
      <w:r w:rsidRPr="00823332">
        <w:rPr>
          <w:rFonts w:ascii="Arial" w:eastAsia="Times New Roman" w:hAnsi="Arial" w:cs="Arial"/>
          <w:color w:val="333333"/>
          <w:sz w:val="21"/>
          <w:szCs w:val="21"/>
          <w:highlight w:val="yellow"/>
        </w:rPr>
        <w:t>severally, according to the percentage of their ownership interest in the partnership.</w:t>
      </w:r>
    </w:p>
    <w:p w:rsidR="00832580" w:rsidRPr="00670A00" w:rsidRDefault="00832580" w:rsidP="00832580">
      <w:pPr>
        <w:pStyle w:val="ListParagraph"/>
        <w:numPr>
          <w:ilvl w:val="0"/>
          <w:numId w:val="5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jointly and severally, regardless of their percentage of ownership interest in the partnership.</w:t>
      </w:r>
    </w:p>
    <w:p w:rsidR="00832580" w:rsidRPr="00670A00" w:rsidRDefault="00832580" w:rsidP="00832580">
      <w:pPr>
        <w:spacing w:after="0"/>
        <w:rPr>
          <w:bCs/>
          <w:u w:val="single"/>
        </w:rPr>
      </w:pPr>
    </w:p>
    <w:p w:rsidR="00832580" w:rsidRPr="00670A00" w:rsidRDefault="00832580" w:rsidP="00832580">
      <w:p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7. Under a typical franchise agreement, the franchisor sells the franchisee the right to do all of the following, except</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operate the business.</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use the business’ trade secrets and trademarks.</w:t>
      </w:r>
    </w:p>
    <w:p w:rsidR="00832580" w:rsidRPr="00823332" w:rsidRDefault="00832580" w:rsidP="00832580">
      <w:pPr>
        <w:pStyle w:val="ListParagraph"/>
        <w:numPr>
          <w:ilvl w:val="0"/>
          <w:numId w:val="51"/>
        </w:numPr>
        <w:spacing w:after="0" w:line="240" w:lineRule="auto"/>
        <w:rPr>
          <w:rFonts w:ascii="Arial" w:eastAsia="Times New Roman" w:hAnsi="Arial" w:cs="Arial"/>
          <w:bCs/>
          <w:color w:val="333333"/>
          <w:sz w:val="21"/>
          <w:szCs w:val="21"/>
          <w:highlight w:val="yellow"/>
        </w:rPr>
      </w:pPr>
      <w:r w:rsidRPr="00823332">
        <w:rPr>
          <w:rFonts w:ascii="Arial" w:eastAsia="Times New Roman" w:hAnsi="Arial" w:cs="Arial"/>
          <w:bCs/>
          <w:color w:val="333333"/>
          <w:sz w:val="21"/>
          <w:szCs w:val="21"/>
          <w:highlight w:val="yellow"/>
        </w:rPr>
        <w:t>sell the business’ retail space to a third party.</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sell the business’ products.</w:t>
      </w:r>
    </w:p>
    <w:p w:rsidR="00832580" w:rsidRPr="00670A00" w:rsidRDefault="00832580" w:rsidP="00832580">
      <w:pPr>
        <w:rPr>
          <w:bCs/>
          <w:u w:val="single"/>
        </w:rPr>
      </w:pPr>
    </w:p>
    <w:p w:rsidR="00832580" w:rsidRPr="00670A00" w:rsidRDefault="00832580" w:rsidP="00832580">
      <w:pPr>
        <w:rPr>
          <w:bCs/>
          <w:u w:val="single"/>
        </w:rPr>
      </w:pPr>
    </w:p>
    <w:p w:rsidR="00832580" w:rsidRDefault="00832580" w:rsidP="00832580">
      <w:pPr>
        <w:rPr>
          <w:b/>
          <w:bCs/>
          <w:u w:val="single"/>
        </w:rPr>
      </w:pPr>
    </w:p>
    <w:p w:rsidR="00832580" w:rsidRDefault="00832580" w:rsidP="00832580">
      <w:pPr>
        <w:rPr>
          <w:b/>
          <w:bCs/>
          <w:u w:val="single"/>
        </w:rPr>
      </w:pPr>
    </w:p>
    <w:p w:rsidR="00670A00" w:rsidRDefault="00670A00" w:rsidP="00832580">
      <w:pPr>
        <w:rPr>
          <w:b/>
          <w:bCs/>
          <w:u w:val="single"/>
        </w:rPr>
      </w:pPr>
    </w:p>
    <w:p w:rsidR="00832580" w:rsidRDefault="00832580" w:rsidP="00832580">
      <w:pPr>
        <w:rPr>
          <w:b/>
          <w:bCs/>
          <w:u w:val="single"/>
        </w:rPr>
      </w:pPr>
      <w:r>
        <w:rPr>
          <w:b/>
          <w:bCs/>
          <w:u w:val="single"/>
        </w:rPr>
        <w:t>Essay Narrative Response:</w:t>
      </w:r>
    </w:p>
    <w:p w:rsidR="00832580"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Name the three specific events that are deemed events of dissociation by the Revised Uniform Partnership Act and are considered to be the most common.</w:t>
      </w:r>
    </w:p>
    <w:p w:rsidR="00832580" w:rsidRDefault="00D032CD" w:rsidP="00D032CD">
      <w:pPr>
        <w:pStyle w:val="ListParagraph"/>
        <w:numPr>
          <w:ilvl w:val="0"/>
          <w:numId w:val="53"/>
        </w:numPr>
        <w:spacing w:line="240" w:lineRule="auto"/>
        <w:rPr>
          <w:rFonts w:ascii="Arial" w:eastAsia="Times New Roman" w:hAnsi="Arial" w:cs="Arial"/>
          <w:color w:val="000000" w:themeColor="text1"/>
          <w:sz w:val="21"/>
          <w:szCs w:val="21"/>
        </w:rPr>
      </w:pPr>
      <w:r w:rsidRPr="00D032CD">
        <w:rPr>
          <w:rFonts w:ascii="Arial" w:eastAsia="Times New Roman" w:hAnsi="Arial" w:cs="Arial"/>
          <w:color w:val="000000" w:themeColor="text1"/>
          <w:sz w:val="21"/>
          <w:szCs w:val="21"/>
        </w:rPr>
        <w:t>The partner's expulsion pursuant to the partnership agreement</w:t>
      </w:r>
    </w:p>
    <w:p w:rsidR="00D032CD" w:rsidRDefault="00D032CD" w:rsidP="00D032CD">
      <w:pPr>
        <w:pStyle w:val="ListParagraph"/>
        <w:numPr>
          <w:ilvl w:val="0"/>
          <w:numId w:val="53"/>
        </w:numPr>
        <w:rPr>
          <w:rFonts w:ascii="Arial" w:eastAsia="Times New Roman" w:hAnsi="Arial" w:cs="Arial"/>
          <w:color w:val="000000" w:themeColor="text1"/>
          <w:sz w:val="21"/>
          <w:szCs w:val="21"/>
        </w:rPr>
      </w:pPr>
      <w:r w:rsidRPr="00D032CD">
        <w:rPr>
          <w:rFonts w:ascii="Arial" w:eastAsia="Times New Roman" w:hAnsi="Arial" w:cs="Arial"/>
          <w:color w:val="000000" w:themeColor="text1"/>
          <w:sz w:val="21"/>
          <w:szCs w:val="21"/>
        </w:rPr>
        <w:t>The partner's expulsion by the unanimous</w:t>
      </w:r>
      <w:r>
        <w:rPr>
          <w:rFonts w:ascii="Arial" w:eastAsia="Times New Roman" w:hAnsi="Arial" w:cs="Arial"/>
          <w:color w:val="000000" w:themeColor="text1"/>
          <w:sz w:val="21"/>
          <w:szCs w:val="21"/>
        </w:rPr>
        <w:t xml:space="preserve"> vote of the other partners if i</w:t>
      </w:r>
      <w:r w:rsidRPr="00D032CD">
        <w:rPr>
          <w:rFonts w:ascii="Arial" w:eastAsia="Times New Roman" w:hAnsi="Arial" w:cs="Arial"/>
          <w:color w:val="000000" w:themeColor="text1"/>
          <w:sz w:val="21"/>
          <w:szCs w:val="21"/>
        </w:rPr>
        <w:t>t is unlawful to carry on the partnership business with that partner</w:t>
      </w:r>
    </w:p>
    <w:p w:rsidR="00D032CD" w:rsidRPr="00D032CD" w:rsidRDefault="00D032CD" w:rsidP="00D032CD">
      <w:pPr>
        <w:pStyle w:val="ListParagraph"/>
        <w:numPr>
          <w:ilvl w:val="0"/>
          <w:numId w:val="53"/>
        </w:numPr>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T</w:t>
      </w:r>
      <w:r w:rsidRPr="00D032CD">
        <w:rPr>
          <w:rFonts w:ascii="Arial" w:eastAsia="Times New Roman" w:hAnsi="Arial" w:cs="Arial"/>
          <w:color w:val="000000" w:themeColor="text1"/>
          <w:sz w:val="21"/>
          <w:szCs w:val="21"/>
        </w:rPr>
        <w:t xml:space="preserve">he partner's death </w:t>
      </w:r>
      <w:r>
        <w:rPr>
          <w:rFonts w:ascii="Arial" w:eastAsia="Times New Roman" w:hAnsi="Arial" w:cs="Arial"/>
          <w:color w:val="000000" w:themeColor="text1"/>
          <w:sz w:val="21"/>
          <w:szCs w:val="21"/>
        </w:rPr>
        <w:t>i</w:t>
      </w:r>
      <w:r w:rsidRPr="00D032CD">
        <w:rPr>
          <w:rFonts w:ascii="Arial" w:eastAsia="Times New Roman" w:hAnsi="Arial" w:cs="Arial"/>
          <w:color w:val="000000" w:themeColor="text1"/>
          <w:sz w:val="21"/>
          <w:szCs w:val="21"/>
        </w:rPr>
        <w:t xml:space="preserve">n the case of </w:t>
      </w:r>
      <w:r>
        <w:rPr>
          <w:rFonts w:ascii="Arial" w:eastAsia="Times New Roman" w:hAnsi="Arial" w:cs="Arial"/>
          <w:color w:val="000000" w:themeColor="text1"/>
          <w:sz w:val="21"/>
          <w:szCs w:val="21"/>
        </w:rPr>
        <w:t xml:space="preserve">a partner who is an individual </w:t>
      </w:r>
    </w:p>
    <w:p w:rsidR="00D032CD" w:rsidRPr="00D032CD" w:rsidRDefault="00D032CD" w:rsidP="00D032CD">
      <w:pPr>
        <w:pStyle w:val="ListParagraph"/>
        <w:ind w:left="360"/>
        <w:rPr>
          <w:rFonts w:ascii="Arial" w:eastAsia="Times New Roman" w:hAnsi="Arial" w:cs="Arial"/>
          <w:color w:val="000000" w:themeColor="text1"/>
          <w:sz w:val="21"/>
          <w:szCs w:val="21"/>
        </w:rPr>
      </w:pPr>
    </w:p>
    <w:p w:rsidR="00D032CD" w:rsidRPr="0026709E" w:rsidRDefault="00D032CD" w:rsidP="00832580">
      <w:pPr>
        <w:pStyle w:val="ListParagraph"/>
        <w:spacing w:line="240" w:lineRule="auto"/>
        <w:ind w:left="360"/>
        <w:rPr>
          <w:rFonts w:ascii="Arial" w:eastAsia="Times New Roman" w:hAnsi="Arial" w:cs="Arial"/>
          <w:color w:val="000000" w:themeColor="text1"/>
          <w:sz w:val="21"/>
          <w:szCs w:val="21"/>
        </w:rPr>
      </w:pPr>
    </w:p>
    <w:p w:rsidR="00832580" w:rsidRPr="0026709E"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Describe the common terms of a franchise agreement that govern the relationship between franchisee and franchisor.</w:t>
      </w:r>
    </w:p>
    <w:p w:rsidR="00832580" w:rsidRPr="00354911" w:rsidRDefault="00D032CD" w:rsidP="00354911">
      <w:pPr>
        <w:pStyle w:val="ListParagraph"/>
        <w:numPr>
          <w:ilvl w:val="0"/>
          <w:numId w:val="54"/>
        </w:numPr>
        <w:rPr>
          <w:bCs/>
          <w:color w:val="000000" w:themeColor="text1"/>
        </w:rPr>
      </w:pPr>
      <w:r w:rsidRPr="00354911">
        <w:rPr>
          <w:bCs/>
          <w:color w:val="000000" w:themeColor="text1"/>
        </w:rPr>
        <w:t>Advertising Fund – a pool of funds mostly paid monthly by the franchisee to the franchisor to cater for advertising expenses.</w:t>
      </w:r>
    </w:p>
    <w:p w:rsidR="00D032CD" w:rsidRPr="00354911" w:rsidRDefault="00D032CD" w:rsidP="00354911">
      <w:pPr>
        <w:pStyle w:val="ListParagraph"/>
        <w:numPr>
          <w:ilvl w:val="0"/>
          <w:numId w:val="54"/>
        </w:numPr>
        <w:rPr>
          <w:bCs/>
          <w:color w:val="000000" w:themeColor="text1"/>
        </w:rPr>
      </w:pPr>
      <w:r w:rsidRPr="00354911">
        <w:rPr>
          <w:bCs/>
          <w:color w:val="000000" w:themeColor="text1"/>
        </w:rPr>
        <w:t>Area Franchisee – A franchisee who by means of acquiring exclusive rights is allowed to open several franchise units in a given location mostly within a particular timespan.</w:t>
      </w:r>
    </w:p>
    <w:p w:rsidR="00D032CD" w:rsidRPr="00354911" w:rsidRDefault="00D032CD" w:rsidP="00354911">
      <w:pPr>
        <w:pStyle w:val="ListParagraph"/>
        <w:numPr>
          <w:ilvl w:val="0"/>
          <w:numId w:val="54"/>
        </w:numPr>
        <w:rPr>
          <w:bCs/>
          <w:color w:val="000000" w:themeColor="text1"/>
          <w:u w:val="single"/>
        </w:rPr>
      </w:pPr>
      <w:r w:rsidRPr="00354911">
        <w:rPr>
          <w:bCs/>
          <w:color w:val="000000" w:themeColor="text1"/>
        </w:rPr>
        <w:t xml:space="preserve">Franchise fee – </w:t>
      </w:r>
      <w:r w:rsidR="00354911" w:rsidRPr="00354911">
        <w:rPr>
          <w:bCs/>
          <w:color w:val="000000" w:themeColor="text1"/>
        </w:rPr>
        <w:t>a one-time fee that is part</w:t>
      </w:r>
      <w:r w:rsidRPr="00354911">
        <w:rPr>
          <w:bCs/>
          <w:color w:val="000000" w:themeColor="text1"/>
        </w:rPr>
        <w:t xml:space="preserve"> of</w:t>
      </w:r>
      <w:r w:rsidR="00354911" w:rsidRPr="00354911">
        <w:rPr>
          <w:bCs/>
          <w:color w:val="000000" w:themeColor="text1"/>
        </w:rPr>
        <w:t xml:space="preserve"> the initial </w:t>
      </w:r>
      <w:r w:rsidRPr="00354911">
        <w:rPr>
          <w:bCs/>
          <w:color w:val="000000" w:themeColor="text1"/>
        </w:rPr>
        <w:t xml:space="preserve">investment </w:t>
      </w:r>
      <w:r w:rsidR="00354911" w:rsidRPr="00354911">
        <w:rPr>
          <w:bCs/>
          <w:color w:val="000000" w:themeColor="text1"/>
        </w:rPr>
        <w:t>that a franchisee pays to the franchisor to be allowed to use the franchisor’s brand.</w:t>
      </w:r>
    </w:p>
    <w:p w:rsidR="00832580" w:rsidRPr="0026709E" w:rsidRDefault="00832580" w:rsidP="00832580">
      <w:pPr>
        <w:rPr>
          <w:bCs/>
          <w:color w:val="000000" w:themeColor="text1"/>
          <w:u w:val="single"/>
        </w:rPr>
      </w:pPr>
    </w:p>
    <w:p w:rsidR="00832580" w:rsidRPr="004802D3"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You have been invited to become a member of a partnership. What are some of the considerations you need to assess in making a decision to become a general or limited partner?</w:t>
      </w:r>
    </w:p>
    <w:p w:rsidR="00832580" w:rsidRPr="004802D3" w:rsidRDefault="00354911" w:rsidP="004802D3">
      <w:pPr>
        <w:pStyle w:val="ListParagraph"/>
        <w:numPr>
          <w:ilvl w:val="0"/>
          <w:numId w:val="55"/>
        </w:numPr>
        <w:rPr>
          <w:bCs/>
        </w:rPr>
      </w:pPr>
      <w:r w:rsidRPr="004802D3">
        <w:rPr>
          <w:bCs/>
        </w:rPr>
        <w:t>Personal assets liability</w:t>
      </w:r>
    </w:p>
    <w:p w:rsidR="00354911" w:rsidRPr="004802D3" w:rsidRDefault="00354911" w:rsidP="004802D3">
      <w:pPr>
        <w:pStyle w:val="ListParagraph"/>
        <w:numPr>
          <w:ilvl w:val="0"/>
          <w:numId w:val="55"/>
        </w:numPr>
        <w:rPr>
          <w:bCs/>
        </w:rPr>
      </w:pPr>
      <w:r w:rsidRPr="004802D3">
        <w:rPr>
          <w:bCs/>
        </w:rPr>
        <w:t xml:space="preserve">Purpose of the partnership; whether it allows pooling of skills and expansion of networks or it is </w:t>
      </w:r>
      <w:r w:rsidR="004802D3" w:rsidRPr="004802D3">
        <w:rPr>
          <w:bCs/>
        </w:rPr>
        <w:t>largely based on</w:t>
      </w:r>
    </w:p>
    <w:p w:rsidR="004802D3" w:rsidRPr="004802D3" w:rsidRDefault="004802D3" w:rsidP="004802D3">
      <w:pPr>
        <w:pStyle w:val="ListParagraph"/>
        <w:numPr>
          <w:ilvl w:val="0"/>
          <w:numId w:val="55"/>
        </w:numPr>
        <w:rPr>
          <w:bCs/>
        </w:rPr>
      </w:pPr>
      <w:r w:rsidRPr="004802D3">
        <w:rPr>
          <w:bCs/>
        </w:rPr>
        <w:t>Control over the operations of the partnership</w:t>
      </w:r>
    </w:p>
    <w:p w:rsidR="004802D3" w:rsidRPr="004802D3" w:rsidRDefault="004802D3" w:rsidP="004802D3">
      <w:pPr>
        <w:pStyle w:val="ListParagraph"/>
        <w:numPr>
          <w:ilvl w:val="0"/>
          <w:numId w:val="55"/>
        </w:numPr>
        <w:rPr>
          <w:b/>
          <w:bCs/>
          <w:u w:val="single"/>
        </w:rPr>
      </w:pPr>
      <w:r w:rsidRPr="004802D3">
        <w:rPr>
          <w:bCs/>
        </w:rPr>
        <w:t>Rewards from the profits</w:t>
      </w:r>
    </w:p>
    <w:p w:rsidR="002D2D3A" w:rsidRDefault="00EC5A60"/>
    <w:sectPr w:rsidR="002D2D3A" w:rsidSect="006F11B6">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60" w:rsidRDefault="00EC5A60">
      <w:pPr>
        <w:spacing w:after="0" w:line="240" w:lineRule="auto"/>
      </w:pPr>
      <w:r>
        <w:separator/>
      </w:r>
    </w:p>
  </w:endnote>
  <w:endnote w:type="continuationSeparator" w:id="0">
    <w:p w:rsidR="00EC5A60" w:rsidRDefault="00EC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5200"/>
      <w:docPartObj>
        <w:docPartGallery w:val="Page Numbers (Bottom of Page)"/>
        <w:docPartUnique/>
      </w:docPartObj>
    </w:sdtPr>
    <w:sdtEndPr>
      <w:rPr>
        <w:noProof/>
      </w:rPr>
    </w:sdtEndPr>
    <w:sdtContent>
      <w:p w:rsidR="006F11B6" w:rsidRDefault="00670A00">
        <w:pPr>
          <w:pStyle w:val="Footer"/>
          <w:jc w:val="right"/>
        </w:pPr>
        <w:r>
          <w:fldChar w:fldCharType="begin"/>
        </w:r>
        <w:r>
          <w:instrText xml:space="preserve"> PAGE   \* MERGEFORMAT </w:instrText>
        </w:r>
        <w:r>
          <w:fldChar w:fldCharType="separate"/>
        </w:r>
        <w:r w:rsidR="00EC5A60">
          <w:rPr>
            <w:noProof/>
          </w:rPr>
          <w:t>1</w:t>
        </w:r>
        <w:r>
          <w:rPr>
            <w:noProof/>
          </w:rPr>
          <w:fldChar w:fldCharType="end"/>
        </w:r>
      </w:p>
    </w:sdtContent>
  </w:sdt>
  <w:p w:rsidR="006F11B6" w:rsidRDefault="00EC5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60" w:rsidRDefault="00EC5A60">
      <w:pPr>
        <w:spacing w:after="0" w:line="240" w:lineRule="auto"/>
      </w:pPr>
      <w:r>
        <w:separator/>
      </w:r>
    </w:p>
  </w:footnote>
  <w:footnote w:type="continuationSeparator" w:id="0">
    <w:p w:rsidR="00EC5A60" w:rsidRDefault="00EC5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58E"/>
    <w:multiLevelType w:val="hybridMultilevel"/>
    <w:tmpl w:val="73888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6BF8"/>
    <w:multiLevelType w:val="hybridMultilevel"/>
    <w:tmpl w:val="99A6F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45FC"/>
    <w:multiLevelType w:val="hybridMultilevel"/>
    <w:tmpl w:val="25965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6F8A"/>
    <w:multiLevelType w:val="hybridMultilevel"/>
    <w:tmpl w:val="B60A4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663E3"/>
    <w:multiLevelType w:val="hybridMultilevel"/>
    <w:tmpl w:val="9D9CD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A08F8"/>
    <w:multiLevelType w:val="hybridMultilevel"/>
    <w:tmpl w:val="EFC27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F68F2"/>
    <w:multiLevelType w:val="hybridMultilevel"/>
    <w:tmpl w:val="8FFA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3121C"/>
    <w:multiLevelType w:val="hybridMultilevel"/>
    <w:tmpl w:val="C89CA71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C2B83"/>
    <w:multiLevelType w:val="hybridMultilevel"/>
    <w:tmpl w:val="F244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24846"/>
    <w:multiLevelType w:val="hybridMultilevel"/>
    <w:tmpl w:val="417E1322"/>
    <w:lvl w:ilvl="0" w:tplc="C38679C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5F5A7E"/>
    <w:multiLevelType w:val="hybridMultilevel"/>
    <w:tmpl w:val="9D88D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56D41"/>
    <w:multiLevelType w:val="hybridMultilevel"/>
    <w:tmpl w:val="6DCE1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16F2A"/>
    <w:multiLevelType w:val="hybridMultilevel"/>
    <w:tmpl w:val="E2E40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22B7E"/>
    <w:multiLevelType w:val="hybridMultilevel"/>
    <w:tmpl w:val="E0C469CC"/>
    <w:lvl w:ilvl="0" w:tplc="C54ED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471C27"/>
    <w:multiLevelType w:val="hybridMultilevel"/>
    <w:tmpl w:val="7632BA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F34AB"/>
    <w:multiLevelType w:val="hybridMultilevel"/>
    <w:tmpl w:val="9CEA3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A3677"/>
    <w:multiLevelType w:val="hybridMultilevel"/>
    <w:tmpl w:val="61AC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0809DE"/>
    <w:multiLevelType w:val="hybridMultilevel"/>
    <w:tmpl w:val="96466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93527"/>
    <w:multiLevelType w:val="hybridMultilevel"/>
    <w:tmpl w:val="D3306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B74F6"/>
    <w:multiLevelType w:val="hybridMultilevel"/>
    <w:tmpl w:val="BE6E0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CC79D7"/>
    <w:multiLevelType w:val="hybridMultilevel"/>
    <w:tmpl w:val="13C00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8701F6"/>
    <w:multiLevelType w:val="hybridMultilevel"/>
    <w:tmpl w:val="EDEC2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8D6D40"/>
    <w:multiLevelType w:val="hybridMultilevel"/>
    <w:tmpl w:val="3FE8F524"/>
    <w:lvl w:ilvl="0" w:tplc="BF8E1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381B38"/>
    <w:multiLevelType w:val="hybridMultilevel"/>
    <w:tmpl w:val="BA78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424FD"/>
    <w:multiLevelType w:val="hybridMultilevel"/>
    <w:tmpl w:val="827C3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1018E"/>
    <w:multiLevelType w:val="hybridMultilevel"/>
    <w:tmpl w:val="BA6E92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035958"/>
    <w:multiLevelType w:val="hybridMultilevel"/>
    <w:tmpl w:val="9B7E9B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470CEE"/>
    <w:multiLevelType w:val="hybridMultilevel"/>
    <w:tmpl w:val="88D240E4"/>
    <w:lvl w:ilvl="0" w:tplc="48FAFC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58543A6"/>
    <w:multiLevelType w:val="hybridMultilevel"/>
    <w:tmpl w:val="D0B8D0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347D9"/>
    <w:multiLevelType w:val="hybridMultilevel"/>
    <w:tmpl w:val="B6486636"/>
    <w:lvl w:ilvl="0" w:tplc="51D4B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F95D27"/>
    <w:multiLevelType w:val="hybridMultilevel"/>
    <w:tmpl w:val="B1D60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B02C71"/>
    <w:multiLevelType w:val="hybridMultilevel"/>
    <w:tmpl w:val="42705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B4432F"/>
    <w:multiLevelType w:val="hybridMultilevel"/>
    <w:tmpl w:val="34400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491439"/>
    <w:multiLevelType w:val="hybridMultilevel"/>
    <w:tmpl w:val="E3168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006BE"/>
    <w:multiLevelType w:val="hybridMultilevel"/>
    <w:tmpl w:val="9B7211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1358CA"/>
    <w:multiLevelType w:val="hybridMultilevel"/>
    <w:tmpl w:val="250E1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206D00"/>
    <w:multiLevelType w:val="hybridMultilevel"/>
    <w:tmpl w:val="F0580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1F2289"/>
    <w:multiLevelType w:val="hybridMultilevel"/>
    <w:tmpl w:val="54D87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7071A6"/>
    <w:multiLevelType w:val="hybridMultilevel"/>
    <w:tmpl w:val="76CCF6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555426"/>
    <w:multiLevelType w:val="hybridMultilevel"/>
    <w:tmpl w:val="1A0EC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924DDD"/>
    <w:multiLevelType w:val="hybridMultilevel"/>
    <w:tmpl w:val="98346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C673B3"/>
    <w:multiLevelType w:val="hybridMultilevel"/>
    <w:tmpl w:val="BF581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2C4DF2"/>
    <w:multiLevelType w:val="hybridMultilevel"/>
    <w:tmpl w:val="0DEA4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7F2758A"/>
    <w:multiLevelType w:val="hybridMultilevel"/>
    <w:tmpl w:val="F14200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6B142E"/>
    <w:multiLevelType w:val="hybridMultilevel"/>
    <w:tmpl w:val="DFC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20483D"/>
    <w:multiLevelType w:val="hybridMultilevel"/>
    <w:tmpl w:val="099CF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B75566"/>
    <w:multiLevelType w:val="hybridMultilevel"/>
    <w:tmpl w:val="0582A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3B1989"/>
    <w:multiLevelType w:val="hybridMultilevel"/>
    <w:tmpl w:val="BD0602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813893"/>
    <w:multiLevelType w:val="hybridMultilevel"/>
    <w:tmpl w:val="1AAEF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7470AC"/>
    <w:multiLevelType w:val="hybridMultilevel"/>
    <w:tmpl w:val="8BC44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367FB6"/>
    <w:multiLevelType w:val="hybridMultilevel"/>
    <w:tmpl w:val="5E3ECE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0F575E"/>
    <w:multiLevelType w:val="hybridMultilevel"/>
    <w:tmpl w:val="FEB63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AC6C18"/>
    <w:multiLevelType w:val="hybridMultilevel"/>
    <w:tmpl w:val="22600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AC153F"/>
    <w:multiLevelType w:val="hybridMultilevel"/>
    <w:tmpl w:val="936E9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497DCE"/>
    <w:multiLevelType w:val="hybridMultilevel"/>
    <w:tmpl w:val="3CD887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3"/>
  </w:num>
  <w:num w:numId="3">
    <w:abstractNumId w:val="14"/>
  </w:num>
  <w:num w:numId="4">
    <w:abstractNumId w:val="1"/>
  </w:num>
  <w:num w:numId="5">
    <w:abstractNumId w:val="31"/>
  </w:num>
  <w:num w:numId="6">
    <w:abstractNumId w:val="2"/>
  </w:num>
  <w:num w:numId="7">
    <w:abstractNumId w:val="52"/>
  </w:num>
  <w:num w:numId="8">
    <w:abstractNumId w:val="37"/>
  </w:num>
  <w:num w:numId="9">
    <w:abstractNumId w:val="5"/>
  </w:num>
  <w:num w:numId="10">
    <w:abstractNumId w:val="30"/>
  </w:num>
  <w:num w:numId="11">
    <w:abstractNumId w:val="20"/>
  </w:num>
  <w:num w:numId="12">
    <w:abstractNumId w:val="3"/>
  </w:num>
  <w:num w:numId="13">
    <w:abstractNumId w:val="46"/>
  </w:num>
  <w:num w:numId="14">
    <w:abstractNumId w:val="16"/>
  </w:num>
  <w:num w:numId="15">
    <w:abstractNumId w:val="36"/>
  </w:num>
  <w:num w:numId="16">
    <w:abstractNumId w:val="13"/>
  </w:num>
  <w:num w:numId="17">
    <w:abstractNumId w:val="48"/>
  </w:num>
  <w:num w:numId="18">
    <w:abstractNumId w:val="9"/>
  </w:num>
  <w:num w:numId="19">
    <w:abstractNumId w:val="24"/>
  </w:num>
  <w:num w:numId="20">
    <w:abstractNumId w:val="21"/>
  </w:num>
  <w:num w:numId="21">
    <w:abstractNumId w:val="35"/>
  </w:num>
  <w:num w:numId="22">
    <w:abstractNumId w:val="4"/>
  </w:num>
  <w:num w:numId="23">
    <w:abstractNumId w:val="51"/>
  </w:num>
  <w:num w:numId="24">
    <w:abstractNumId w:val="11"/>
  </w:num>
  <w:num w:numId="25">
    <w:abstractNumId w:val="26"/>
  </w:num>
  <w:num w:numId="26">
    <w:abstractNumId w:val="47"/>
  </w:num>
  <w:num w:numId="27">
    <w:abstractNumId w:val="38"/>
  </w:num>
  <w:num w:numId="28">
    <w:abstractNumId w:val="25"/>
  </w:num>
  <w:num w:numId="29">
    <w:abstractNumId w:val="23"/>
  </w:num>
  <w:num w:numId="30">
    <w:abstractNumId w:val="39"/>
  </w:num>
  <w:num w:numId="31">
    <w:abstractNumId w:val="28"/>
  </w:num>
  <w:num w:numId="32">
    <w:abstractNumId w:val="34"/>
  </w:num>
  <w:num w:numId="33">
    <w:abstractNumId w:val="54"/>
  </w:num>
  <w:num w:numId="34">
    <w:abstractNumId w:val="22"/>
  </w:num>
  <w:num w:numId="35">
    <w:abstractNumId w:val="12"/>
  </w:num>
  <w:num w:numId="36">
    <w:abstractNumId w:val="41"/>
  </w:num>
  <w:num w:numId="37">
    <w:abstractNumId w:val="45"/>
  </w:num>
  <w:num w:numId="38">
    <w:abstractNumId w:val="10"/>
  </w:num>
  <w:num w:numId="39">
    <w:abstractNumId w:val="53"/>
  </w:num>
  <w:num w:numId="40">
    <w:abstractNumId w:val="33"/>
  </w:num>
  <w:num w:numId="41">
    <w:abstractNumId w:val="50"/>
  </w:num>
  <w:num w:numId="42">
    <w:abstractNumId w:val="40"/>
  </w:num>
  <w:num w:numId="43">
    <w:abstractNumId w:val="32"/>
  </w:num>
  <w:num w:numId="44">
    <w:abstractNumId w:val="27"/>
  </w:num>
  <w:num w:numId="45">
    <w:abstractNumId w:val="6"/>
  </w:num>
  <w:num w:numId="46">
    <w:abstractNumId w:val="49"/>
  </w:num>
  <w:num w:numId="47">
    <w:abstractNumId w:val="0"/>
  </w:num>
  <w:num w:numId="48">
    <w:abstractNumId w:val="17"/>
  </w:num>
  <w:num w:numId="49">
    <w:abstractNumId w:val="15"/>
  </w:num>
  <w:num w:numId="50">
    <w:abstractNumId w:val="19"/>
  </w:num>
  <w:num w:numId="51">
    <w:abstractNumId w:val="18"/>
  </w:num>
  <w:num w:numId="52">
    <w:abstractNumId w:val="29"/>
  </w:num>
  <w:num w:numId="53">
    <w:abstractNumId w:val="42"/>
  </w:num>
  <w:num w:numId="54">
    <w:abstractNumId w:val="44"/>
  </w:num>
  <w:num w:numId="55">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80"/>
    <w:rsid w:val="00002F43"/>
    <w:rsid w:val="00107FC4"/>
    <w:rsid w:val="00115B9B"/>
    <w:rsid w:val="0030102F"/>
    <w:rsid w:val="00334CF6"/>
    <w:rsid w:val="00354911"/>
    <w:rsid w:val="0037416A"/>
    <w:rsid w:val="003B3B32"/>
    <w:rsid w:val="004802D3"/>
    <w:rsid w:val="004822D8"/>
    <w:rsid w:val="00503885"/>
    <w:rsid w:val="005B11DE"/>
    <w:rsid w:val="00670A00"/>
    <w:rsid w:val="00823332"/>
    <w:rsid w:val="00832580"/>
    <w:rsid w:val="00883BA5"/>
    <w:rsid w:val="00946483"/>
    <w:rsid w:val="00C07430"/>
    <w:rsid w:val="00CA5C45"/>
    <w:rsid w:val="00CE09D9"/>
    <w:rsid w:val="00D032CD"/>
    <w:rsid w:val="00D34209"/>
    <w:rsid w:val="00D414E6"/>
    <w:rsid w:val="00EC5A60"/>
    <w:rsid w:val="00FB581B"/>
    <w:rsid w:val="00FC1D72"/>
    <w:rsid w:val="00FD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80"/>
  </w:style>
  <w:style w:type="paragraph" w:styleId="ListParagraph">
    <w:name w:val="List Paragraph"/>
    <w:basedOn w:val="Normal"/>
    <w:uiPriority w:val="34"/>
    <w:qFormat/>
    <w:rsid w:val="00832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80"/>
  </w:style>
  <w:style w:type="paragraph" w:styleId="ListParagraph">
    <w:name w:val="List Paragraph"/>
    <w:basedOn w:val="Normal"/>
    <w:uiPriority w:val="34"/>
    <w:qFormat/>
    <w:rsid w:val="00832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51812">
      <w:bodyDiv w:val="1"/>
      <w:marLeft w:val="0"/>
      <w:marRight w:val="0"/>
      <w:marTop w:val="0"/>
      <w:marBottom w:val="0"/>
      <w:divBdr>
        <w:top w:val="none" w:sz="0" w:space="0" w:color="auto"/>
        <w:left w:val="none" w:sz="0" w:space="0" w:color="auto"/>
        <w:bottom w:val="none" w:sz="0" w:space="0" w:color="auto"/>
        <w:right w:val="none" w:sz="0" w:space="0" w:color="auto"/>
      </w:divBdr>
    </w:div>
    <w:div w:id="1153915580">
      <w:bodyDiv w:val="1"/>
      <w:marLeft w:val="0"/>
      <w:marRight w:val="0"/>
      <w:marTop w:val="0"/>
      <w:marBottom w:val="0"/>
      <w:divBdr>
        <w:top w:val="none" w:sz="0" w:space="0" w:color="auto"/>
        <w:left w:val="none" w:sz="0" w:space="0" w:color="auto"/>
        <w:bottom w:val="none" w:sz="0" w:space="0" w:color="auto"/>
        <w:right w:val="none" w:sz="0" w:space="0" w:color="auto"/>
      </w:divBdr>
    </w:div>
    <w:div w:id="2044134710">
      <w:bodyDiv w:val="1"/>
      <w:marLeft w:val="0"/>
      <w:marRight w:val="0"/>
      <w:marTop w:val="0"/>
      <w:marBottom w:val="0"/>
      <w:divBdr>
        <w:top w:val="none" w:sz="0" w:space="0" w:color="auto"/>
        <w:left w:val="none" w:sz="0" w:space="0" w:color="auto"/>
        <w:bottom w:val="none" w:sz="0" w:space="0" w:color="auto"/>
        <w:right w:val="none" w:sz="0" w:space="0" w:color="auto"/>
      </w:divBdr>
    </w:div>
    <w:div w:id="207369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Keuka College</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cp:lastModifiedBy>
  <cp:revision>2</cp:revision>
  <dcterms:created xsi:type="dcterms:W3CDTF">2021-05-06T00:48:00Z</dcterms:created>
  <dcterms:modified xsi:type="dcterms:W3CDTF">2021-05-06T00:48:00Z</dcterms:modified>
</cp:coreProperties>
</file>