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3790" w:rsidRDefault="00ED3790" w:rsidP="00ED3790">
      <w:pPr>
        <w:spacing w:before="100" w:beforeAutospacing="1" w:after="100" w:afterAutospacing="1" w:line="480" w:lineRule="auto"/>
        <w:jc w:val="center"/>
        <w:rPr>
          <w:rFonts w:ascii="Times New Roman" w:hAnsi="Times New Roman" w:cs="Times New Roman"/>
          <w:sz w:val="24"/>
          <w:szCs w:val="24"/>
        </w:rPr>
      </w:pPr>
    </w:p>
    <w:p w:rsidR="00ED3790" w:rsidRDefault="00ED3790" w:rsidP="00ED3790">
      <w:pPr>
        <w:spacing w:before="100" w:beforeAutospacing="1" w:after="100" w:afterAutospacing="1" w:line="480" w:lineRule="auto"/>
        <w:jc w:val="center"/>
        <w:rPr>
          <w:rFonts w:ascii="Times New Roman" w:hAnsi="Times New Roman" w:cs="Times New Roman"/>
          <w:sz w:val="24"/>
          <w:szCs w:val="24"/>
        </w:rPr>
      </w:pPr>
    </w:p>
    <w:p w:rsidR="00ED3790" w:rsidRDefault="00ED3790" w:rsidP="005C381D">
      <w:pPr>
        <w:spacing w:before="100" w:beforeAutospacing="1" w:after="100" w:afterAutospacing="1" w:line="480" w:lineRule="auto"/>
        <w:rPr>
          <w:rFonts w:ascii="Times New Roman" w:hAnsi="Times New Roman" w:cs="Times New Roman"/>
          <w:sz w:val="24"/>
          <w:szCs w:val="24"/>
        </w:rPr>
      </w:pPr>
    </w:p>
    <w:p w:rsidR="00ED3790" w:rsidRDefault="00ED3790" w:rsidP="00ED3790">
      <w:pPr>
        <w:spacing w:before="100" w:beforeAutospacing="1" w:after="100" w:afterAutospacing="1" w:line="480" w:lineRule="auto"/>
        <w:jc w:val="center"/>
        <w:rPr>
          <w:rFonts w:ascii="Times New Roman" w:hAnsi="Times New Roman" w:cs="Times New Roman"/>
          <w:sz w:val="24"/>
          <w:szCs w:val="24"/>
        </w:rPr>
      </w:pPr>
    </w:p>
    <w:p w:rsidR="00ED3790" w:rsidRDefault="00ED3790" w:rsidP="00ED3790">
      <w:pPr>
        <w:spacing w:before="100" w:beforeAutospacing="1" w:after="100" w:afterAutospacing="1" w:line="480" w:lineRule="auto"/>
        <w:jc w:val="center"/>
        <w:rPr>
          <w:rFonts w:ascii="Times New Roman" w:hAnsi="Times New Roman" w:cs="Times New Roman"/>
          <w:sz w:val="24"/>
          <w:szCs w:val="24"/>
        </w:rPr>
      </w:pPr>
    </w:p>
    <w:p w:rsidR="00ED3790" w:rsidRDefault="00ED3790" w:rsidP="00ED3790">
      <w:pPr>
        <w:spacing w:before="100" w:beforeAutospacing="1" w:after="100" w:afterAutospacing="1" w:line="480" w:lineRule="auto"/>
        <w:jc w:val="center"/>
        <w:rPr>
          <w:rFonts w:ascii="Times New Roman" w:hAnsi="Times New Roman" w:cs="Times New Roman"/>
          <w:sz w:val="24"/>
          <w:szCs w:val="24"/>
        </w:rPr>
      </w:pPr>
    </w:p>
    <w:p w:rsidR="00ED3790" w:rsidRDefault="008C2AF3" w:rsidP="00ED3790">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Capital Structure </w:t>
      </w:r>
    </w:p>
    <w:p w:rsidR="00ED3790" w:rsidRDefault="00ED3790" w:rsidP="00ED3790">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D3790" w:rsidRDefault="00ED3790" w:rsidP="00ED3790">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D3790" w:rsidRDefault="00ED3790" w:rsidP="00ED3790">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C381D" w:rsidRDefault="005C381D" w:rsidP="005C381D">
      <w:pPr>
        <w:spacing w:before="100" w:beforeAutospacing="1" w:after="100" w:afterAutospacing="1" w:line="480" w:lineRule="auto"/>
        <w:jc w:val="center"/>
        <w:rPr>
          <w:rFonts w:ascii="Times New Roman" w:hAnsi="Times New Roman" w:cs="Times New Roman"/>
          <w:sz w:val="24"/>
          <w:szCs w:val="24"/>
        </w:rPr>
      </w:pPr>
    </w:p>
    <w:p w:rsidR="005C381D" w:rsidRDefault="005C381D" w:rsidP="005C381D">
      <w:pPr>
        <w:spacing w:before="100" w:beforeAutospacing="1" w:after="100" w:afterAutospacing="1" w:line="480" w:lineRule="auto"/>
        <w:jc w:val="center"/>
        <w:rPr>
          <w:rFonts w:ascii="Times New Roman" w:hAnsi="Times New Roman" w:cs="Times New Roman"/>
          <w:sz w:val="24"/>
          <w:szCs w:val="24"/>
        </w:rPr>
      </w:pPr>
    </w:p>
    <w:p w:rsidR="005C381D" w:rsidRDefault="005C381D" w:rsidP="005C381D">
      <w:pPr>
        <w:spacing w:before="100" w:beforeAutospacing="1" w:after="100" w:afterAutospacing="1" w:line="480" w:lineRule="auto"/>
        <w:jc w:val="center"/>
        <w:rPr>
          <w:rFonts w:ascii="Times New Roman" w:hAnsi="Times New Roman" w:cs="Times New Roman"/>
          <w:sz w:val="24"/>
          <w:szCs w:val="24"/>
        </w:rPr>
      </w:pPr>
    </w:p>
    <w:p w:rsidR="005C381D" w:rsidRDefault="005C381D" w:rsidP="005C381D">
      <w:pPr>
        <w:spacing w:before="100" w:beforeAutospacing="1" w:after="100" w:afterAutospacing="1" w:line="480" w:lineRule="auto"/>
        <w:jc w:val="center"/>
        <w:rPr>
          <w:rFonts w:ascii="Times New Roman" w:hAnsi="Times New Roman" w:cs="Times New Roman"/>
          <w:sz w:val="24"/>
          <w:szCs w:val="24"/>
        </w:rPr>
      </w:pPr>
    </w:p>
    <w:p w:rsidR="005C381D" w:rsidRDefault="005C381D" w:rsidP="005C381D">
      <w:pPr>
        <w:spacing w:before="100" w:beforeAutospacing="1" w:after="100" w:afterAutospacing="1" w:line="480" w:lineRule="auto"/>
        <w:jc w:val="center"/>
        <w:rPr>
          <w:rFonts w:ascii="Times New Roman" w:hAnsi="Times New Roman" w:cs="Times New Roman"/>
          <w:sz w:val="24"/>
          <w:szCs w:val="24"/>
        </w:rPr>
      </w:pPr>
    </w:p>
    <w:p w:rsidR="005C381D" w:rsidRDefault="005C381D" w:rsidP="005C381D">
      <w:pPr>
        <w:spacing w:before="100" w:beforeAutospacing="1" w:after="100" w:afterAutospacing="1" w:line="480" w:lineRule="auto"/>
        <w:jc w:val="center"/>
        <w:rPr>
          <w:rFonts w:ascii="Times New Roman" w:hAnsi="Times New Roman" w:cs="Times New Roman"/>
          <w:sz w:val="24"/>
          <w:szCs w:val="24"/>
        </w:rPr>
      </w:pPr>
    </w:p>
    <w:p w:rsidR="005C381D" w:rsidRDefault="005C381D" w:rsidP="005C381D">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Apple Inc. </w:t>
      </w:r>
      <w:r w:rsidR="00E92613">
        <w:rPr>
          <w:rFonts w:ascii="Times New Roman" w:hAnsi="Times New Roman" w:cs="Times New Roman"/>
          <w:sz w:val="24"/>
          <w:szCs w:val="24"/>
        </w:rPr>
        <w:t xml:space="preserve">Liquidity and Capital Structure </w:t>
      </w:r>
    </w:p>
    <w:p w:rsidR="00ED3790" w:rsidRDefault="00ED3790" w:rsidP="00ED3790">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AE3ECA" w:rsidRDefault="00E92613" w:rsidP="00A63ACB">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capital structure theory is a process in financial management that refers to a systemic approach of financing the business activities through equities and liabilities. Theories have been developed in practice that try to explain the </w:t>
      </w:r>
      <w:r w:rsidR="009571FA">
        <w:rPr>
          <w:rFonts w:ascii="Times New Roman" w:hAnsi="Times New Roman" w:cs="Times New Roman"/>
          <w:sz w:val="24"/>
          <w:szCs w:val="24"/>
        </w:rPr>
        <w:t>relationship that exists between equity financing, debt financing, and market value of the business. One most common theory is known as the net income approach to capital structure which was developed by a proponent of financial leverage, David Durand in 1952</w:t>
      </w:r>
      <w:r w:rsidR="00771954">
        <w:rPr>
          <w:rFonts w:ascii="Times New Roman" w:hAnsi="Times New Roman" w:cs="Times New Roman"/>
          <w:sz w:val="24"/>
          <w:szCs w:val="24"/>
        </w:rPr>
        <w:t xml:space="preserve"> (</w:t>
      </w:r>
      <w:r w:rsidR="00771954">
        <w:rPr>
          <w:rFonts w:ascii="Times New Roman" w:hAnsi="Times New Roman" w:cs="Times New Roman"/>
          <w:sz w:val="24"/>
          <w:szCs w:val="24"/>
        </w:rPr>
        <w:t>Vo, 2017</w:t>
      </w:r>
      <w:r w:rsidR="00771954">
        <w:rPr>
          <w:rFonts w:ascii="Times New Roman" w:hAnsi="Times New Roman" w:cs="Times New Roman"/>
          <w:sz w:val="24"/>
          <w:szCs w:val="24"/>
        </w:rPr>
        <w:t>)</w:t>
      </w:r>
      <w:r w:rsidR="009571FA">
        <w:rPr>
          <w:rFonts w:ascii="Times New Roman" w:hAnsi="Times New Roman" w:cs="Times New Roman"/>
          <w:sz w:val="24"/>
          <w:szCs w:val="24"/>
        </w:rPr>
        <w:t xml:space="preserve">. David posited that a change in financial leverage leads to a change in capital costs. This means that if debt ratio increases so will capital structure do but weighted average cost of capital decreases hence leading to a higher entity value. </w:t>
      </w:r>
      <w:r w:rsidR="00AE3ECA">
        <w:rPr>
          <w:rFonts w:ascii="Times New Roman" w:hAnsi="Times New Roman" w:cs="Times New Roman"/>
          <w:sz w:val="24"/>
          <w:szCs w:val="24"/>
        </w:rPr>
        <w:t>Considering that the cost of capital is a function of capital structure it should be noted that this approach has an assumption of an optimal capital structure which means that some certain ratio of debt and equity, capital cost is at minimum and entity’s value is at the maximum. Another approach is the pecking order theory which majorly focuses on asymmetrical informational costs</w:t>
      </w:r>
      <w:r w:rsidR="00771954">
        <w:rPr>
          <w:rFonts w:ascii="Times New Roman" w:hAnsi="Times New Roman" w:cs="Times New Roman"/>
          <w:sz w:val="24"/>
          <w:szCs w:val="24"/>
        </w:rPr>
        <w:t xml:space="preserve"> (</w:t>
      </w:r>
      <w:r w:rsidR="00771954" w:rsidRPr="00771954">
        <w:rPr>
          <w:rFonts w:ascii="Times New Roman" w:hAnsi="Times New Roman" w:cs="Times New Roman"/>
          <w:sz w:val="24"/>
          <w:szCs w:val="24"/>
        </w:rPr>
        <w:t>Acaravci</w:t>
      </w:r>
      <w:r w:rsidR="00771954">
        <w:rPr>
          <w:rFonts w:ascii="Times New Roman" w:hAnsi="Times New Roman" w:cs="Times New Roman"/>
          <w:sz w:val="24"/>
          <w:szCs w:val="24"/>
        </w:rPr>
        <w:t>, 2015)</w:t>
      </w:r>
      <w:r w:rsidR="00AE3ECA">
        <w:rPr>
          <w:rFonts w:ascii="Times New Roman" w:hAnsi="Times New Roman" w:cs="Times New Roman"/>
          <w:sz w:val="24"/>
          <w:szCs w:val="24"/>
        </w:rPr>
        <w:t xml:space="preserve">. The approach make an assumption </w:t>
      </w:r>
      <w:r w:rsidR="00A63ACB">
        <w:rPr>
          <w:rFonts w:ascii="Times New Roman" w:hAnsi="Times New Roman" w:cs="Times New Roman"/>
          <w:sz w:val="24"/>
          <w:szCs w:val="24"/>
        </w:rPr>
        <w:t xml:space="preserve">that entities give priority to their financing strategies based on paths of the least resistance. This is to say that internal financing is usually the first consideration, after which debt and external financing are then considered as the last options. Capital structure is very vital for companies and very importantly, finance officers should be conversant with their entities’ capital structure. Analyzing an entity’s capital structure correctly helps the management optimize on the costs of capital hence increasing profits of the business. </w:t>
      </w:r>
    </w:p>
    <w:p w:rsidR="005C381D" w:rsidRDefault="005C381D" w:rsidP="005C381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r>
    </w:p>
    <w:p w:rsidR="00915B6F" w:rsidRDefault="00915B6F" w:rsidP="00915B6F">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Theoretical background</w:t>
      </w:r>
    </w:p>
    <w:p w:rsidR="00915B6F" w:rsidRDefault="00880E4B" w:rsidP="00915B6F">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 xml:space="preserve">The proportion of debt and equity financing of an entity is referred to as capital structure. It’s a definition of how a business is financed. If an entity happens to have a debt that is high that its equity, it is said to be highly leveraged and vice versa. </w:t>
      </w:r>
    </w:p>
    <w:p w:rsidR="00880E4B" w:rsidRDefault="00880E4B" w:rsidP="00880E4B">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Debt finance </w:t>
      </w:r>
      <w:r w:rsidR="000970B6">
        <w:rPr>
          <w:rFonts w:ascii="Times New Roman" w:hAnsi="Times New Roman" w:cs="Times New Roman"/>
          <w:sz w:val="24"/>
          <w:szCs w:val="24"/>
        </w:rPr>
        <w:t>has always been embraced more than equity finance as it is cheaper and safer from the point of view of a holder</w:t>
      </w:r>
      <w:r w:rsidR="00771954">
        <w:rPr>
          <w:rFonts w:ascii="Times New Roman" w:hAnsi="Times New Roman" w:cs="Times New Roman"/>
          <w:sz w:val="24"/>
          <w:szCs w:val="24"/>
        </w:rPr>
        <w:t xml:space="preserve"> (</w:t>
      </w:r>
      <w:r w:rsidR="00771954" w:rsidRPr="00771954">
        <w:rPr>
          <w:rFonts w:ascii="Times New Roman" w:hAnsi="Times New Roman" w:cs="Times New Roman"/>
          <w:sz w:val="24"/>
          <w:szCs w:val="24"/>
        </w:rPr>
        <w:t>Acaravci</w:t>
      </w:r>
      <w:r w:rsidR="00771954">
        <w:rPr>
          <w:rFonts w:ascii="Times New Roman" w:hAnsi="Times New Roman" w:cs="Times New Roman"/>
          <w:sz w:val="24"/>
          <w:szCs w:val="24"/>
        </w:rPr>
        <w:t>, 2015</w:t>
      </w:r>
      <w:r w:rsidR="00771954">
        <w:rPr>
          <w:rFonts w:ascii="Times New Roman" w:hAnsi="Times New Roman" w:cs="Times New Roman"/>
          <w:sz w:val="24"/>
          <w:szCs w:val="24"/>
        </w:rPr>
        <w:t>)</w:t>
      </w:r>
      <w:r w:rsidR="000970B6">
        <w:rPr>
          <w:rFonts w:ascii="Times New Roman" w:hAnsi="Times New Roman" w:cs="Times New Roman"/>
          <w:sz w:val="24"/>
          <w:szCs w:val="24"/>
        </w:rPr>
        <w:t xml:space="preserve">. Interest is usually paid before dividends and in the instances of liquidation, debt finance is paid prior equity. This are some of the reasons as to why debt finance is cheaper. </w:t>
      </w:r>
      <w:r w:rsidR="00F21610">
        <w:rPr>
          <w:rFonts w:ascii="Times New Roman" w:hAnsi="Times New Roman" w:cs="Times New Roman"/>
          <w:sz w:val="24"/>
          <w:szCs w:val="24"/>
        </w:rPr>
        <w:t xml:space="preserve">The bad thing about debt finance is that it has an interest that has to be paid. </w:t>
      </w:r>
      <w:r w:rsidR="00723556">
        <w:rPr>
          <w:rFonts w:ascii="Times New Roman" w:hAnsi="Times New Roman" w:cs="Times New Roman"/>
          <w:sz w:val="24"/>
          <w:szCs w:val="24"/>
        </w:rPr>
        <w:t>Whenever it is borrowed in excess, the entity might fail to pay up for the interest plus the principal amount hence leading to liquidation. This means that some bankruptcy costs are borne whenever an entity is using debt financing. The gearing ratio of a company tells the level of borrowing of an entity. It is commonly known as the ratio of debt finance to equity finance which is maintained at low levels for the company to remain financially health</w:t>
      </w:r>
      <w:r w:rsidR="00771954">
        <w:rPr>
          <w:rFonts w:ascii="Times New Roman" w:hAnsi="Times New Roman" w:cs="Times New Roman"/>
          <w:sz w:val="24"/>
          <w:szCs w:val="24"/>
        </w:rPr>
        <w:t xml:space="preserve"> (</w:t>
      </w:r>
      <w:r w:rsidR="00771954" w:rsidRPr="00771954">
        <w:rPr>
          <w:rFonts w:ascii="Times New Roman" w:hAnsi="Times New Roman" w:cs="Times New Roman"/>
          <w:sz w:val="24"/>
          <w:szCs w:val="24"/>
        </w:rPr>
        <w:t>Acaravci</w:t>
      </w:r>
      <w:r w:rsidR="00771954">
        <w:rPr>
          <w:rFonts w:ascii="Times New Roman" w:hAnsi="Times New Roman" w:cs="Times New Roman"/>
          <w:sz w:val="24"/>
          <w:szCs w:val="24"/>
        </w:rPr>
        <w:t>, 2015</w:t>
      </w:r>
      <w:r w:rsidR="00771954">
        <w:rPr>
          <w:rFonts w:ascii="Times New Roman" w:hAnsi="Times New Roman" w:cs="Times New Roman"/>
          <w:sz w:val="24"/>
          <w:szCs w:val="24"/>
        </w:rPr>
        <w:t>)</w:t>
      </w:r>
      <w:r w:rsidR="00723556">
        <w:rPr>
          <w:rFonts w:ascii="Times New Roman" w:hAnsi="Times New Roman" w:cs="Times New Roman"/>
          <w:sz w:val="24"/>
          <w:szCs w:val="24"/>
        </w:rPr>
        <w:t xml:space="preserve">. </w:t>
      </w:r>
    </w:p>
    <w:p w:rsidR="00723556" w:rsidRDefault="00723556" w:rsidP="00880E4B">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capital provided by shareholders is what is known as equity financing. Equity financing requires that the business will pay dividends to shareholders at the end of an accounting period when the business makes profit. Although this kind of financing has a lower financial risk, </w:t>
      </w:r>
      <w:r w:rsidR="00FC5BEF">
        <w:rPr>
          <w:rFonts w:ascii="Times New Roman" w:hAnsi="Times New Roman" w:cs="Times New Roman"/>
          <w:sz w:val="24"/>
          <w:szCs w:val="24"/>
        </w:rPr>
        <w:t xml:space="preserve">when the business is not profitable, the company has no obligation to pay any dividends. </w:t>
      </w:r>
    </w:p>
    <w:p w:rsidR="00951C3C" w:rsidRDefault="00951C3C" w:rsidP="00951C3C">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Purpose of the study</w:t>
      </w:r>
    </w:p>
    <w:p w:rsidR="00951C3C" w:rsidRDefault="00FC5BEF" w:rsidP="00480117">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Capital structure is taken to be a prime factor that determines an entity’s performance. It has been found out that capital structure and common stock returns and risks have a direct and a proportionate relationship. This takes company managers to the point that managing their capital structure is a basic financial decision that is relative to value maximization. There are, however, challenges for firms deciding on how to decide on their optimal capital structures. </w:t>
      </w:r>
      <w:r w:rsidR="004604DF">
        <w:rPr>
          <w:rFonts w:ascii="Times New Roman" w:hAnsi="Times New Roman" w:cs="Times New Roman"/>
          <w:sz w:val="24"/>
          <w:szCs w:val="24"/>
        </w:rPr>
        <w:t>Should equity or debt financing be used? Or what is the optimal capital structure? How should the business administrators determine the optimal debt level of the business? This research thus focuses on making these stances clear and make business owners understand the impacts that come along with the topic</w:t>
      </w:r>
      <w:r w:rsidR="00771954">
        <w:rPr>
          <w:rFonts w:ascii="Times New Roman" w:hAnsi="Times New Roman" w:cs="Times New Roman"/>
          <w:sz w:val="24"/>
          <w:szCs w:val="24"/>
        </w:rPr>
        <w:t xml:space="preserve"> (</w:t>
      </w:r>
      <w:r w:rsidR="00771954" w:rsidRPr="00771954">
        <w:rPr>
          <w:rFonts w:ascii="Times New Roman" w:hAnsi="Times New Roman" w:cs="Times New Roman"/>
          <w:sz w:val="24"/>
          <w:szCs w:val="24"/>
          <w:shd w:val="clear" w:color="auto" w:fill="FFFFFF"/>
        </w:rPr>
        <w:t>Chadha</w:t>
      </w:r>
      <w:r w:rsidR="00771954">
        <w:rPr>
          <w:rFonts w:ascii="Times New Roman" w:hAnsi="Times New Roman" w:cs="Times New Roman"/>
          <w:sz w:val="24"/>
          <w:szCs w:val="24"/>
          <w:shd w:val="clear" w:color="auto" w:fill="FFFFFF"/>
        </w:rPr>
        <w:t xml:space="preserve"> </w:t>
      </w:r>
      <w:r w:rsidR="00771954" w:rsidRPr="00771954">
        <w:rPr>
          <w:rFonts w:ascii="Times New Roman" w:hAnsi="Times New Roman" w:cs="Times New Roman"/>
          <w:sz w:val="24"/>
          <w:szCs w:val="24"/>
          <w:shd w:val="clear" w:color="auto" w:fill="FFFFFF"/>
        </w:rPr>
        <w:t>&amp; Sharma</w:t>
      </w:r>
      <w:r w:rsidR="00771954">
        <w:rPr>
          <w:rFonts w:ascii="Times New Roman" w:hAnsi="Times New Roman" w:cs="Times New Roman"/>
          <w:sz w:val="24"/>
          <w:szCs w:val="24"/>
          <w:shd w:val="clear" w:color="auto" w:fill="FFFFFF"/>
        </w:rPr>
        <w:t>, 2015)</w:t>
      </w:r>
      <w:bookmarkStart w:id="0" w:name="_GoBack"/>
      <w:bookmarkEnd w:id="0"/>
      <w:r w:rsidR="004604DF">
        <w:rPr>
          <w:rFonts w:ascii="Times New Roman" w:hAnsi="Times New Roman" w:cs="Times New Roman"/>
          <w:sz w:val="24"/>
          <w:szCs w:val="24"/>
        </w:rPr>
        <w:t xml:space="preserve">. There are many researches that have been done on the matter, for instance, people preferred minimizing the cost of capital by striking a balance between equity and debt to maximize corporate value. However, </w:t>
      </w:r>
      <w:r w:rsidR="004604DF">
        <w:rPr>
          <w:rFonts w:ascii="Times New Roman" w:hAnsi="Times New Roman" w:cs="Times New Roman"/>
          <w:sz w:val="24"/>
          <w:szCs w:val="24"/>
        </w:rPr>
        <w:t>the Modigliani-</w:t>
      </w:r>
      <w:r w:rsidR="004604DF">
        <w:rPr>
          <w:rFonts w:ascii="Times New Roman" w:hAnsi="Times New Roman" w:cs="Times New Roman"/>
          <w:sz w:val="24"/>
          <w:szCs w:val="24"/>
        </w:rPr>
        <w:t xml:space="preserve">Miller theory of 1958 challenged the idea positing that there is some level of irrelevance in capital structure when it came to determining the value of an entity and its future performance. </w:t>
      </w:r>
      <w:r w:rsidR="00642CD2">
        <w:rPr>
          <w:rFonts w:ascii="Times New Roman" w:hAnsi="Times New Roman" w:cs="Times New Roman"/>
          <w:sz w:val="24"/>
          <w:szCs w:val="24"/>
        </w:rPr>
        <w:t>This theory was also challenged and critics said that the assumptions of the theory are very rigid and can only apply in a perfect capital market setting. Other scholars incorporated into the model some factors such as tax benefit, cost of bankruptcy, and agency cost making the theory appear more realistic in the practical world</w:t>
      </w:r>
      <w:r w:rsidR="00480117">
        <w:rPr>
          <w:rFonts w:ascii="Times New Roman" w:hAnsi="Times New Roman" w:cs="Times New Roman"/>
          <w:sz w:val="24"/>
          <w:szCs w:val="24"/>
        </w:rPr>
        <w:t>. When this happened, some other new</w:t>
      </w:r>
      <w:r w:rsidR="001455F7">
        <w:rPr>
          <w:rFonts w:ascii="Times New Roman" w:hAnsi="Times New Roman" w:cs="Times New Roman"/>
          <w:sz w:val="24"/>
          <w:szCs w:val="24"/>
        </w:rPr>
        <w:t xml:space="preserve"> capital structure </w:t>
      </w:r>
      <w:r w:rsidR="00480117">
        <w:rPr>
          <w:rFonts w:ascii="Times New Roman" w:hAnsi="Times New Roman" w:cs="Times New Roman"/>
          <w:sz w:val="24"/>
          <w:szCs w:val="24"/>
        </w:rPr>
        <w:t>theories were developed namely the tradeoff theory, the pecking order theory, and the signal e</w:t>
      </w:r>
      <w:r w:rsidR="001455F7">
        <w:rPr>
          <w:rFonts w:ascii="Times New Roman" w:hAnsi="Times New Roman" w:cs="Times New Roman"/>
          <w:sz w:val="24"/>
          <w:szCs w:val="24"/>
        </w:rPr>
        <w:t xml:space="preserve">ffect theory. These theories have been supported each under specific conditions with a lot of contradictions and agreeing at the same time. Yet still, there are contradictions of theories of capital structure that exist making the whole concept a puzzling idea in corporate financial study. This is already an informational deficient and that is why many more researches will be conducted until some clear information is found (Hope this study becomes the one). </w:t>
      </w:r>
    </w:p>
    <w:p w:rsidR="002F10C1" w:rsidRDefault="001455F7" w:rsidP="003C0CF2">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All past studies have laid emphasis on the relationship that exists between the features of an entity and its capital structure. With many researches tabling empirical evidences that entity-related features like profitability, firm growth, tangibility, size </w:t>
      </w:r>
      <w:r w:rsidR="0054339E">
        <w:rPr>
          <w:rFonts w:ascii="Times New Roman" w:hAnsi="Times New Roman" w:cs="Times New Roman"/>
          <w:sz w:val="24"/>
          <w:szCs w:val="24"/>
        </w:rPr>
        <w:t xml:space="preserve">among others, the studies take them as important capital structure determinants. These have been significantly found to have huge impacts on a company’s capital structure despite the reality that they explain a </w:t>
      </w:r>
      <w:r w:rsidR="00E65B20">
        <w:rPr>
          <w:rFonts w:ascii="Times New Roman" w:hAnsi="Times New Roman" w:cs="Times New Roman"/>
          <w:sz w:val="24"/>
          <w:szCs w:val="24"/>
        </w:rPr>
        <w:t xml:space="preserve">portion of all-firm variations. Undefined factors that affect capital structure include international diversification. </w:t>
      </w:r>
      <w:r w:rsidR="00123F79">
        <w:rPr>
          <w:rFonts w:ascii="Times New Roman" w:hAnsi="Times New Roman" w:cs="Times New Roman"/>
          <w:sz w:val="24"/>
          <w:szCs w:val="24"/>
        </w:rPr>
        <w:t>Internationalized firms need to be looked into when it comes to their capital structures. All the aforementioned factors need to be clearly investigated and made clear t</w:t>
      </w:r>
      <w:r w:rsidR="00771954">
        <w:rPr>
          <w:rFonts w:ascii="Times New Roman" w:hAnsi="Times New Roman" w:cs="Times New Roman"/>
          <w:sz w:val="24"/>
          <w:szCs w:val="24"/>
        </w:rPr>
        <w:t>o scholars and company managers (</w:t>
      </w:r>
      <w:r w:rsidR="00771954" w:rsidRPr="00771954">
        <w:rPr>
          <w:rFonts w:ascii="Times New Roman" w:hAnsi="Times New Roman" w:cs="Times New Roman"/>
          <w:sz w:val="24"/>
          <w:szCs w:val="24"/>
          <w:shd w:val="clear" w:color="auto" w:fill="FFFFFF"/>
        </w:rPr>
        <w:t>Chadha</w:t>
      </w:r>
      <w:r w:rsidR="00771954">
        <w:rPr>
          <w:rFonts w:ascii="Times New Roman" w:hAnsi="Times New Roman" w:cs="Times New Roman"/>
          <w:sz w:val="24"/>
          <w:szCs w:val="24"/>
          <w:shd w:val="clear" w:color="auto" w:fill="FFFFFF"/>
        </w:rPr>
        <w:t xml:space="preserve"> </w:t>
      </w:r>
      <w:r w:rsidR="00771954" w:rsidRPr="00771954">
        <w:rPr>
          <w:rFonts w:ascii="Times New Roman" w:hAnsi="Times New Roman" w:cs="Times New Roman"/>
          <w:sz w:val="24"/>
          <w:szCs w:val="24"/>
          <w:shd w:val="clear" w:color="auto" w:fill="FFFFFF"/>
        </w:rPr>
        <w:t>&amp; Sharma</w:t>
      </w:r>
      <w:r w:rsidR="00771954">
        <w:rPr>
          <w:rFonts w:ascii="Times New Roman" w:hAnsi="Times New Roman" w:cs="Times New Roman"/>
          <w:sz w:val="24"/>
          <w:szCs w:val="24"/>
          <w:shd w:val="clear" w:color="auto" w:fill="FFFFFF"/>
        </w:rPr>
        <w:t xml:space="preserve">, 2015). </w:t>
      </w:r>
      <w:r w:rsidR="00123F79">
        <w:rPr>
          <w:rFonts w:ascii="Times New Roman" w:hAnsi="Times New Roman" w:cs="Times New Roman"/>
          <w:sz w:val="24"/>
          <w:szCs w:val="24"/>
        </w:rPr>
        <w:t xml:space="preserve"> Knowing about them will make companies draw sound decisions in the capital structure policy conforming </w:t>
      </w:r>
      <w:r w:rsidR="002F10C1">
        <w:rPr>
          <w:rFonts w:ascii="Times New Roman" w:hAnsi="Times New Roman" w:cs="Times New Roman"/>
          <w:sz w:val="24"/>
          <w:szCs w:val="24"/>
        </w:rPr>
        <w:t>to</w:t>
      </w:r>
      <w:r w:rsidR="00123F79">
        <w:rPr>
          <w:rFonts w:ascii="Times New Roman" w:hAnsi="Times New Roman" w:cs="Times New Roman"/>
          <w:sz w:val="24"/>
          <w:szCs w:val="24"/>
        </w:rPr>
        <w:t xml:space="preserve"> international strategies of diversification. </w:t>
      </w:r>
    </w:p>
    <w:p w:rsidR="003C0CF2" w:rsidRDefault="003C0CF2" w:rsidP="003C0CF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Study objectives</w:t>
      </w:r>
    </w:p>
    <w:p w:rsidR="003C0CF2" w:rsidRDefault="003C0CF2" w:rsidP="003C0CF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 xml:space="preserve">This study focuses on testing some hypotheses that concern the determination of entity’s capital structure in the manufacturing sector. The central focus is measuring different entities’ debt to asset ratios based on the specific company’s book value. Independent variables that accompany the study include entity’s size, profitability, </w:t>
      </w:r>
      <w:r w:rsidR="00E06C52">
        <w:rPr>
          <w:rFonts w:ascii="Times New Roman" w:hAnsi="Times New Roman" w:cs="Times New Roman"/>
          <w:sz w:val="24"/>
          <w:szCs w:val="24"/>
        </w:rPr>
        <w:t xml:space="preserve">global diversification, tangibility, and growth rate. </w:t>
      </w:r>
    </w:p>
    <w:p w:rsidR="00E06C52" w:rsidRDefault="00E06C52" w:rsidP="003C0CF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Specifically, the intervention seeks to: a) analyze the capital structure determinants of publicly listed companies, and b) analyze the impact of entity globalization on the leverage of publicly traded manufacturing firms. </w:t>
      </w:r>
    </w:p>
    <w:p w:rsidR="00E06C52" w:rsidRDefault="00E06C52" w:rsidP="00771954">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Conceptual framework</w:t>
      </w:r>
    </w:p>
    <w:p w:rsidR="00433523" w:rsidRDefault="00E06C52" w:rsidP="0043352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Capital structure as the dependent variable or dimension is to be determined by the Debt Ratio and its determinant dimensions are </w:t>
      </w:r>
      <w:r>
        <w:rPr>
          <w:rFonts w:ascii="Times New Roman" w:hAnsi="Times New Roman" w:cs="Times New Roman"/>
          <w:sz w:val="24"/>
          <w:szCs w:val="24"/>
        </w:rPr>
        <w:t>entity’s size, profitability, global diversification, tangibility, and growth rate</w:t>
      </w:r>
      <w:r>
        <w:rPr>
          <w:rFonts w:ascii="Times New Roman" w:hAnsi="Times New Roman" w:cs="Times New Roman"/>
          <w:sz w:val="24"/>
          <w:szCs w:val="24"/>
        </w:rPr>
        <w:t>. Therefore:</w:t>
      </w:r>
    </w:p>
    <w:p w:rsidR="00433523" w:rsidRDefault="00433523" w:rsidP="00433523">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Independent Variables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Dependent Variable </w:t>
      </w:r>
    </w:p>
    <w:p w:rsidR="00E06C52" w:rsidRDefault="00433523" w:rsidP="003C0CF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4310743</wp:posOffset>
                </wp:positionH>
                <wp:positionV relativeFrom="paragraph">
                  <wp:posOffset>184199</wp:posOffset>
                </wp:positionV>
                <wp:extent cx="1401288" cy="1270660"/>
                <wp:effectExtent l="0" t="0" r="27940" b="24765"/>
                <wp:wrapNone/>
                <wp:docPr id="4" name="Rounded Rectangle 4"/>
                <wp:cNvGraphicFramePr/>
                <a:graphic xmlns:a="http://schemas.openxmlformats.org/drawingml/2006/main">
                  <a:graphicData uri="http://schemas.microsoft.com/office/word/2010/wordprocessingShape">
                    <wps:wsp>
                      <wps:cNvSpPr/>
                      <wps:spPr>
                        <a:xfrm>
                          <a:off x="0" y="0"/>
                          <a:ext cx="1401288" cy="1270660"/>
                        </a:xfrm>
                        <a:prstGeom prst="roundRect">
                          <a:avLst/>
                        </a:prstGeom>
                      </wps:spPr>
                      <wps:style>
                        <a:lnRef idx="2">
                          <a:schemeClr val="dk1"/>
                        </a:lnRef>
                        <a:fillRef idx="1">
                          <a:schemeClr val="lt1"/>
                        </a:fillRef>
                        <a:effectRef idx="0">
                          <a:schemeClr val="dk1"/>
                        </a:effectRef>
                        <a:fontRef idx="minor">
                          <a:schemeClr val="dk1"/>
                        </a:fontRef>
                      </wps:style>
                      <wps:txbx>
                        <w:txbxContent>
                          <w:p w:rsidR="00433523" w:rsidRPr="00433523" w:rsidRDefault="00433523" w:rsidP="00433523">
                            <w:pPr>
                              <w:jc w:val="center"/>
                              <w:rPr>
                                <w:rFonts w:ascii="Times New Roman" w:hAnsi="Times New Roman" w:cs="Times New Roman"/>
                                <w:b/>
                                <w:sz w:val="24"/>
                                <w:szCs w:val="24"/>
                              </w:rPr>
                            </w:pPr>
                            <w:r w:rsidRPr="00433523">
                              <w:rPr>
                                <w:rFonts w:ascii="Times New Roman" w:hAnsi="Times New Roman" w:cs="Times New Roman"/>
                                <w:b/>
                                <w:sz w:val="24"/>
                                <w:szCs w:val="24"/>
                              </w:rPr>
                              <w:t>Capital Structure</w:t>
                            </w:r>
                          </w:p>
                          <w:p w:rsidR="00433523" w:rsidRPr="00433523" w:rsidRDefault="00433523" w:rsidP="00433523">
                            <w:pPr>
                              <w:jc w:val="center"/>
                              <w:rPr>
                                <w:rFonts w:ascii="Times New Roman" w:hAnsi="Times New Roman" w:cs="Times New Roman"/>
                                <w:sz w:val="24"/>
                                <w:szCs w:val="24"/>
                                <w:u w:val="single"/>
                              </w:rPr>
                            </w:pPr>
                            <w:r w:rsidRPr="00433523">
                              <w:rPr>
                                <w:rFonts w:ascii="Times New Roman" w:hAnsi="Times New Roman" w:cs="Times New Roman"/>
                                <w:sz w:val="24"/>
                                <w:szCs w:val="24"/>
                                <w:u w:val="single"/>
                              </w:rPr>
                              <w:t xml:space="preserve">Dimension: </w:t>
                            </w:r>
                          </w:p>
                          <w:p w:rsidR="00433523" w:rsidRPr="00433523" w:rsidRDefault="00433523" w:rsidP="00433523">
                            <w:pPr>
                              <w:jc w:val="center"/>
                              <w:rPr>
                                <w:rFonts w:ascii="Times New Roman" w:hAnsi="Times New Roman" w:cs="Times New Roman"/>
                                <w:sz w:val="24"/>
                                <w:szCs w:val="24"/>
                              </w:rPr>
                            </w:pPr>
                            <w:r w:rsidRPr="00433523">
                              <w:rPr>
                                <w:rFonts w:ascii="Times New Roman" w:hAnsi="Times New Roman" w:cs="Times New Roman"/>
                                <w:sz w:val="24"/>
                                <w:szCs w:val="24"/>
                              </w:rPr>
                              <w:t>Debt Ratio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4" o:spid="_x0000_s1026" style="position:absolute;margin-left:339.45pt;margin-top:14.5pt;width:110.35pt;height:100.0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" fillcolor="white [3201]" strokecolor="black [3200]" strokeweight="1pt">
                <v:stroke joinstyle="miter"/>
                <v:textbox>
                  <w:txbxContent>
                    <w:p w:rsidR="00433523" w:rsidRPr="00433523" w:rsidRDefault="00433523" w:rsidP="00433523">
                      <w:pPr>
                        <w:jc w:val="center"/>
                        <w:rPr>
                          <w:rFonts w:ascii="Times New Roman" w:hAnsi="Times New Roman" w:cs="Times New Roman"/>
                          <w:b/>
                          <w:sz w:val="24"/>
                          <w:szCs w:val="24"/>
                        </w:rPr>
                      </w:pPr>
                      <w:r w:rsidRPr="00433523">
                        <w:rPr>
                          <w:rFonts w:ascii="Times New Roman" w:hAnsi="Times New Roman" w:cs="Times New Roman"/>
                          <w:b/>
                          <w:sz w:val="24"/>
                          <w:szCs w:val="24"/>
                        </w:rPr>
                        <w:t>Capital Structure</w:t>
                      </w:r>
                    </w:p>
                    <w:p w:rsidR="00433523" w:rsidRPr="00433523" w:rsidRDefault="00433523" w:rsidP="00433523">
                      <w:pPr>
                        <w:jc w:val="center"/>
                        <w:rPr>
                          <w:rFonts w:ascii="Times New Roman" w:hAnsi="Times New Roman" w:cs="Times New Roman"/>
                          <w:sz w:val="24"/>
                          <w:szCs w:val="24"/>
                          <w:u w:val="single"/>
                        </w:rPr>
                      </w:pPr>
                      <w:r w:rsidRPr="00433523">
                        <w:rPr>
                          <w:rFonts w:ascii="Times New Roman" w:hAnsi="Times New Roman" w:cs="Times New Roman"/>
                          <w:sz w:val="24"/>
                          <w:szCs w:val="24"/>
                          <w:u w:val="single"/>
                        </w:rPr>
                        <w:t xml:space="preserve">Dimension: </w:t>
                      </w:r>
                    </w:p>
                    <w:p w:rsidR="00433523" w:rsidRPr="00433523" w:rsidRDefault="00433523" w:rsidP="00433523">
                      <w:pPr>
                        <w:jc w:val="center"/>
                        <w:rPr>
                          <w:rFonts w:ascii="Times New Roman" w:hAnsi="Times New Roman" w:cs="Times New Roman"/>
                          <w:sz w:val="24"/>
                          <w:szCs w:val="24"/>
                        </w:rPr>
                      </w:pPr>
                      <w:r w:rsidRPr="00433523">
                        <w:rPr>
                          <w:rFonts w:ascii="Times New Roman" w:hAnsi="Times New Roman" w:cs="Times New Roman"/>
                          <w:sz w:val="24"/>
                          <w:szCs w:val="24"/>
                        </w:rPr>
                        <w:t>Debt Ratio</w:t>
                      </w:r>
                    </w:p>
                  </w:txbxContent>
                </v:textbox>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35370</wp:posOffset>
                </wp:positionH>
                <wp:positionV relativeFrom="paragraph">
                  <wp:posOffset>94681</wp:posOffset>
                </wp:positionV>
                <wp:extent cx="2208810" cy="2517568"/>
                <wp:effectExtent l="0" t="0" r="20320" b="16510"/>
                <wp:wrapNone/>
                <wp:docPr id="3" name="Rounded Rectangle 3"/>
                <wp:cNvGraphicFramePr/>
                <a:graphic xmlns:a="http://schemas.openxmlformats.org/drawingml/2006/main">
                  <a:graphicData uri="http://schemas.microsoft.com/office/word/2010/wordprocessingShape">
                    <wps:wsp>
                      <wps:cNvSpPr/>
                      <wps:spPr>
                        <a:xfrm>
                          <a:off x="0" y="0"/>
                          <a:ext cx="2208810" cy="2517568"/>
                        </a:xfrm>
                        <a:prstGeom prst="roundRect">
                          <a:avLst/>
                        </a:prstGeom>
                      </wps:spPr>
                      <wps:style>
                        <a:lnRef idx="2">
                          <a:schemeClr val="accent4"/>
                        </a:lnRef>
                        <a:fillRef idx="1">
                          <a:schemeClr val="lt1"/>
                        </a:fillRef>
                        <a:effectRef idx="0">
                          <a:schemeClr val="accent4"/>
                        </a:effectRef>
                        <a:fontRef idx="minor">
                          <a:schemeClr val="dk1"/>
                        </a:fontRef>
                      </wps:style>
                      <wps:txbx>
                        <w:txbxContent>
                          <w:p w:rsidR="00433523" w:rsidRPr="00433523" w:rsidRDefault="00433523" w:rsidP="00433523">
                            <w:pPr>
                              <w:jc w:val="center"/>
                              <w:rPr>
                                <w:rFonts w:ascii="Times New Roman" w:hAnsi="Times New Roman" w:cs="Times New Roman"/>
                                <w:sz w:val="24"/>
                                <w:szCs w:val="24"/>
                                <w:u w:val="single"/>
                              </w:rPr>
                            </w:pPr>
                            <w:r w:rsidRPr="00433523">
                              <w:rPr>
                                <w:rFonts w:ascii="Times New Roman" w:hAnsi="Times New Roman" w:cs="Times New Roman"/>
                                <w:b/>
                                <w:sz w:val="24"/>
                                <w:szCs w:val="24"/>
                              </w:rPr>
                              <w:t>Determinants</w:t>
                            </w:r>
                            <w:r w:rsidRPr="00433523">
                              <w:rPr>
                                <w:rFonts w:ascii="Times New Roman" w:hAnsi="Times New Roman" w:cs="Times New Roman"/>
                                <w:sz w:val="24"/>
                                <w:szCs w:val="24"/>
                                <w:u w:val="single"/>
                              </w:rPr>
                              <w:t xml:space="preserve"> </w:t>
                            </w:r>
                          </w:p>
                          <w:p w:rsidR="00433523" w:rsidRPr="00433523" w:rsidRDefault="00433523" w:rsidP="00433523">
                            <w:pPr>
                              <w:jc w:val="center"/>
                              <w:rPr>
                                <w:rFonts w:ascii="Times New Roman" w:hAnsi="Times New Roman" w:cs="Times New Roman"/>
                                <w:sz w:val="24"/>
                                <w:szCs w:val="24"/>
                                <w:u w:val="single"/>
                              </w:rPr>
                            </w:pPr>
                            <w:r w:rsidRPr="00433523">
                              <w:rPr>
                                <w:rFonts w:ascii="Times New Roman" w:hAnsi="Times New Roman" w:cs="Times New Roman"/>
                                <w:sz w:val="24"/>
                                <w:szCs w:val="24"/>
                                <w:u w:val="single"/>
                              </w:rPr>
                              <w:t>Dimension:</w:t>
                            </w:r>
                          </w:p>
                          <w:p w:rsidR="00433523" w:rsidRDefault="00433523" w:rsidP="00433523">
                            <w:pPr>
                              <w:jc w:val="center"/>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ntity’s si</w:t>
                            </w:r>
                            <w:r>
                              <w:rPr>
                                <w:rFonts w:ascii="Times New Roman" w:hAnsi="Times New Roman" w:cs="Times New Roman"/>
                                <w:sz w:val="24"/>
                                <w:szCs w:val="24"/>
                              </w:rPr>
                              <w:t>ze</w:t>
                            </w:r>
                          </w:p>
                          <w:p w:rsidR="00433523" w:rsidRDefault="00433523" w:rsidP="00433523">
                            <w:pPr>
                              <w:jc w:val="center"/>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z w:val="24"/>
                                <w:szCs w:val="24"/>
                              </w:rPr>
                              <w:t>rofi</w:t>
                            </w:r>
                            <w:r>
                              <w:rPr>
                                <w:rFonts w:ascii="Times New Roman" w:hAnsi="Times New Roman" w:cs="Times New Roman"/>
                                <w:sz w:val="24"/>
                                <w:szCs w:val="24"/>
                              </w:rPr>
                              <w:t>tability</w:t>
                            </w:r>
                          </w:p>
                          <w:p w:rsidR="00433523" w:rsidRDefault="00433523" w:rsidP="00433523">
                            <w:pPr>
                              <w:jc w:val="center"/>
                              <w:rPr>
                                <w:rFonts w:ascii="Times New Roman" w:hAnsi="Times New Roman" w:cs="Times New Roman"/>
                                <w:sz w:val="24"/>
                                <w:szCs w:val="24"/>
                              </w:rPr>
                            </w:pPr>
                            <w:r>
                              <w:rPr>
                                <w:rFonts w:ascii="Times New Roman" w:hAnsi="Times New Roman" w:cs="Times New Roman"/>
                                <w:sz w:val="24"/>
                                <w:szCs w:val="24"/>
                              </w:rPr>
                              <w:t>Global diversification</w:t>
                            </w:r>
                          </w:p>
                          <w:p w:rsidR="00433523" w:rsidRDefault="00433523" w:rsidP="00433523">
                            <w:pPr>
                              <w:jc w:val="center"/>
                              <w:rPr>
                                <w:rFonts w:ascii="Times New Roman" w:hAnsi="Times New Roman" w:cs="Times New Roman"/>
                                <w:sz w:val="24"/>
                                <w:szCs w:val="24"/>
                              </w:rPr>
                            </w:pPr>
                            <w:r>
                              <w:rPr>
                                <w:rFonts w:ascii="Times New Roman" w:hAnsi="Times New Roman" w:cs="Times New Roman"/>
                                <w:sz w:val="24"/>
                                <w:szCs w:val="24"/>
                              </w:rPr>
                              <w:t xml:space="preserve">Tangibility </w:t>
                            </w:r>
                          </w:p>
                          <w:p w:rsidR="00433523" w:rsidRDefault="00433523" w:rsidP="00433523">
                            <w:pPr>
                              <w:jc w:val="center"/>
                            </w:pPr>
                            <w:r>
                              <w:rPr>
                                <w:rFonts w:ascii="Times New Roman" w:hAnsi="Times New Roman" w:cs="Times New Roman"/>
                                <w:sz w:val="24"/>
                                <w:szCs w:val="24"/>
                              </w:rPr>
                              <w:t>G</w:t>
                            </w:r>
                            <w:r>
                              <w:rPr>
                                <w:rFonts w:ascii="Times New Roman" w:hAnsi="Times New Roman" w:cs="Times New Roman"/>
                                <w:sz w:val="24"/>
                                <w:szCs w:val="24"/>
                              </w:rPr>
                              <w:t>rowth rate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 o:spid="_x0000_s1027" style="position:absolute;margin-left:2.8pt;margin-top:7.45pt;width:173.9pt;height:19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" fillcolor="white [3201]" strokecolor="#ffc000 [3207]" strokeweight="1pt">
                <v:stroke joinstyle="miter"/>
                <v:textbox>
                  <w:txbxContent>
                    <w:p w:rsidR="00433523" w:rsidRPr="00433523" w:rsidRDefault="00433523" w:rsidP="00433523">
                      <w:pPr>
                        <w:jc w:val="center"/>
                        <w:rPr>
                          <w:rFonts w:ascii="Times New Roman" w:hAnsi="Times New Roman" w:cs="Times New Roman"/>
                          <w:sz w:val="24"/>
                          <w:szCs w:val="24"/>
                          <w:u w:val="single"/>
                        </w:rPr>
                      </w:pPr>
                      <w:r w:rsidRPr="00433523">
                        <w:rPr>
                          <w:rFonts w:ascii="Times New Roman" w:hAnsi="Times New Roman" w:cs="Times New Roman"/>
                          <w:b/>
                          <w:sz w:val="24"/>
                          <w:szCs w:val="24"/>
                        </w:rPr>
                        <w:t>Determinants</w:t>
                      </w:r>
                      <w:r w:rsidRPr="00433523">
                        <w:rPr>
                          <w:rFonts w:ascii="Times New Roman" w:hAnsi="Times New Roman" w:cs="Times New Roman"/>
                          <w:sz w:val="24"/>
                          <w:szCs w:val="24"/>
                          <w:u w:val="single"/>
                        </w:rPr>
                        <w:t xml:space="preserve"> </w:t>
                      </w:r>
                    </w:p>
                    <w:p w:rsidR="00433523" w:rsidRPr="00433523" w:rsidRDefault="00433523" w:rsidP="00433523">
                      <w:pPr>
                        <w:jc w:val="center"/>
                        <w:rPr>
                          <w:rFonts w:ascii="Times New Roman" w:hAnsi="Times New Roman" w:cs="Times New Roman"/>
                          <w:sz w:val="24"/>
                          <w:szCs w:val="24"/>
                          <w:u w:val="single"/>
                        </w:rPr>
                      </w:pPr>
                      <w:r w:rsidRPr="00433523">
                        <w:rPr>
                          <w:rFonts w:ascii="Times New Roman" w:hAnsi="Times New Roman" w:cs="Times New Roman"/>
                          <w:sz w:val="24"/>
                          <w:szCs w:val="24"/>
                          <w:u w:val="single"/>
                        </w:rPr>
                        <w:t>Dimension:</w:t>
                      </w:r>
                    </w:p>
                    <w:p w:rsidR="00433523" w:rsidRDefault="00433523" w:rsidP="00433523">
                      <w:pPr>
                        <w:jc w:val="center"/>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ntity’s si</w:t>
                      </w:r>
                      <w:r>
                        <w:rPr>
                          <w:rFonts w:ascii="Times New Roman" w:hAnsi="Times New Roman" w:cs="Times New Roman"/>
                          <w:sz w:val="24"/>
                          <w:szCs w:val="24"/>
                        </w:rPr>
                        <w:t>ze</w:t>
                      </w:r>
                    </w:p>
                    <w:p w:rsidR="00433523" w:rsidRDefault="00433523" w:rsidP="00433523">
                      <w:pPr>
                        <w:jc w:val="center"/>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z w:val="24"/>
                          <w:szCs w:val="24"/>
                        </w:rPr>
                        <w:t>rofi</w:t>
                      </w:r>
                      <w:r>
                        <w:rPr>
                          <w:rFonts w:ascii="Times New Roman" w:hAnsi="Times New Roman" w:cs="Times New Roman"/>
                          <w:sz w:val="24"/>
                          <w:szCs w:val="24"/>
                        </w:rPr>
                        <w:t>tability</w:t>
                      </w:r>
                    </w:p>
                    <w:p w:rsidR="00433523" w:rsidRDefault="00433523" w:rsidP="00433523">
                      <w:pPr>
                        <w:jc w:val="center"/>
                        <w:rPr>
                          <w:rFonts w:ascii="Times New Roman" w:hAnsi="Times New Roman" w:cs="Times New Roman"/>
                          <w:sz w:val="24"/>
                          <w:szCs w:val="24"/>
                        </w:rPr>
                      </w:pPr>
                      <w:r>
                        <w:rPr>
                          <w:rFonts w:ascii="Times New Roman" w:hAnsi="Times New Roman" w:cs="Times New Roman"/>
                          <w:sz w:val="24"/>
                          <w:szCs w:val="24"/>
                        </w:rPr>
                        <w:t>Global diversification</w:t>
                      </w:r>
                    </w:p>
                    <w:p w:rsidR="00433523" w:rsidRDefault="00433523" w:rsidP="00433523">
                      <w:pPr>
                        <w:jc w:val="center"/>
                        <w:rPr>
                          <w:rFonts w:ascii="Times New Roman" w:hAnsi="Times New Roman" w:cs="Times New Roman"/>
                          <w:sz w:val="24"/>
                          <w:szCs w:val="24"/>
                        </w:rPr>
                      </w:pPr>
                      <w:r>
                        <w:rPr>
                          <w:rFonts w:ascii="Times New Roman" w:hAnsi="Times New Roman" w:cs="Times New Roman"/>
                          <w:sz w:val="24"/>
                          <w:szCs w:val="24"/>
                        </w:rPr>
                        <w:t xml:space="preserve">Tangibility </w:t>
                      </w:r>
                    </w:p>
                    <w:p w:rsidR="00433523" w:rsidRDefault="00433523" w:rsidP="00433523">
                      <w:pPr>
                        <w:jc w:val="center"/>
                      </w:pPr>
                      <w:r>
                        <w:rPr>
                          <w:rFonts w:ascii="Times New Roman" w:hAnsi="Times New Roman" w:cs="Times New Roman"/>
                          <w:sz w:val="24"/>
                          <w:szCs w:val="24"/>
                        </w:rPr>
                        <w:t>G</w:t>
                      </w:r>
                      <w:r>
                        <w:rPr>
                          <w:rFonts w:ascii="Times New Roman" w:hAnsi="Times New Roman" w:cs="Times New Roman"/>
                          <w:sz w:val="24"/>
                          <w:szCs w:val="24"/>
                        </w:rPr>
                        <w:t>rowth rate</w:t>
                      </w:r>
                    </w:p>
                  </w:txbxContent>
                </v:textbox>
              </v:roundrect>
            </w:pict>
          </mc:Fallback>
        </mc:AlternateContent>
      </w:r>
    </w:p>
    <w:p w:rsidR="003C0CF2" w:rsidRDefault="00433523" w:rsidP="003C0CF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2256312</wp:posOffset>
                </wp:positionH>
                <wp:positionV relativeFrom="paragraph">
                  <wp:posOffset>190269</wp:posOffset>
                </wp:positionV>
                <wp:extent cx="2018805" cy="59377"/>
                <wp:effectExtent l="0" t="19050" r="38735" b="36195"/>
                <wp:wrapNone/>
                <wp:docPr id="5" name="Right Arrow 5"/>
                <wp:cNvGraphicFramePr/>
                <a:graphic xmlns:a="http://schemas.openxmlformats.org/drawingml/2006/main">
                  <a:graphicData uri="http://schemas.microsoft.com/office/word/2010/wordprocessingShape">
                    <wps:wsp>
                      <wps:cNvSpPr/>
                      <wps:spPr>
                        <a:xfrm>
                          <a:off x="0" y="0"/>
                          <a:ext cx="2018805" cy="59377"/>
                        </a:xfrm>
                        <a:prstGeom prst="rightArrow">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9EFC73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26" type="#_x0000_t13" style="position:absolute;margin-left:177.65pt;margin-top:15pt;width:158.95pt;height:4.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" adj="21282" fillcolor="#ed7d31 [3205]" strokecolor="#823b0b [1605]" strokeweight="1pt"/>
            </w:pict>
          </mc:Fallback>
        </mc:AlternateContent>
      </w:r>
    </w:p>
    <w:p w:rsidR="00433523" w:rsidRDefault="00433523" w:rsidP="003C0CF2">
      <w:pPr>
        <w:spacing w:before="100" w:beforeAutospacing="1" w:after="100" w:afterAutospacing="1" w:line="480" w:lineRule="auto"/>
        <w:rPr>
          <w:rFonts w:ascii="Times New Roman" w:hAnsi="Times New Roman" w:cs="Times New Roman"/>
          <w:sz w:val="24"/>
          <w:szCs w:val="24"/>
        </w:rPr>
      </w:pPr>
    </w:p>
    <w:p w:rsidR="00D445F7" w:rsidRDefault="00D445F7" w:rsidP="00ED3790">
      <w:pPr>
        <w:spacing w:before="100" w:beforeAutospacing="1" w:after="100" w:afterAutospacing="1" w:line="480" w:lineRule="auto"/>
        <w:jc w:val="center"/>
        <w:rPr>
          <w:rFonts w:ascii="Times New Roman" w:hAnsi="Times New Roman" w:cs="Times New Roman"/>
          <w:sz w:val="24"/>
          <w:szCs w:val="24"/>
        </w:rPr>
      </w:pPr>
    </w:p>
    <w:p w:rsidR="00433523" w:rsidRDefault="00433523" w:rsidP="00ED3790">
      <w:pPr>
        <w:spacing w:before="100" w:beforeAutospacing="1" w:after="100" w:afterAutospacing="1" w:line="480" w:lineRule="auto"/>
        <w:jc w:val="center"/>
        <w:rPr>
          <w:rFonts w:ascii="Times New Roman" w:hAnsi="Times New Roman" w:cs="Times New Roman"/>
          <w:sz w:val="24"/>
          <w:szCs w:val="24"/>
        </w:rPr>
      </w:pPr>
    </w:p>
    <w:p w:rsidR="00D445F7" w:rsidRDefault="00D445F7" w:rsidP="00D445F7">
      <w:pPr>
        <w:spacing w:before="100" w:beforeAutospacing="1" w:after="100" w:afterAutospacing="1" w:line="480" w:lineRule="auto"/>
        <w:rPr>
          <w:rFonts w:ascii="Times New Roman" w:hAnsi="Times New Roman" w:cs="Times New Roman"/>
          <w:sz w:val="24"/>
          <w:szCs w:val="24"/>
        </w:rPr>
      </w:pPr>
    </w:p>
    <w:p w:rsidR="00ED3790" w:rsidRPr="00ED3790" w:rsidRDefault="00D445F7" w:rsidP="00ED3790">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Empirical Analysis - </w:t>
      </w:r>
      <w:r w:rsidR="00ED3790">
        <w:rPr>
          <w:rFonts w:ascii="Times New Roman" w:hAnsi="Times New Roman" w:cs="Times New Roman"/>
          <w:sz w:val="24"/>
          <w:szCs w:val="24"/>
        </w:rPr>
        <w:t xml:space="preserve">Apple’s </w:t>
      </w:r>
      <w:r w:rsidR="00ED3790" w:rsidRPr="00ED3790">
        <w:rPr>
          <w:rFonts w:ascii="Times New Roman" w:hAnsi="Times New Roman" w:cs="Times New Roman"/>
          <w:sz w:val="24"/>
          <w:szCs w:val="24"/>
        </w:rPr>
        <w:t>Capital structure</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t>Equity capitalization</w:t>
      </w:r>
    </w:p>
    <w:p w:rsidR="00ED3790" w:rsidRPr="00ED3790" w:rsidRDefault="00ED3790" w:rsidP="00ED3790">
      <w:pPr>
        <w:spacing w:before="100" w:beforeAutospacing="1" w:after="100" w:afterAutospacing="1" w:line="480" w:lineRule="auto"/>
        <w:ind w:firstLine="720"/>
        <w:rPr>
          <w:rFonts w:ascii="Times New Roman" w:hAnsi="Times New Roman" w:cs="Times New Roman"/>
          <w:sz w:val="24"/>
          <w:szCs w:val="24"/>
        </w:rPr>
      </w:pPr>
      <w:r w:rsidRPr="00ED3790">
        <w:rPr>
          <w:rFonts w:ascii="Times New Roman" w:hAnsi="Times New Roman" w:cs="Times New Roman"/>
          <w:sz w:val="24"/>
          <w:szCs w:val="24"/>
        </w:rPr>
        <w:t xml:space="preserve">Capital structure refers to the amount of equity and/or debt that a company uses while financing its activities. As at 2015, this company’s stockholder’s equity totaled 119.36 billion USD. Out of this, 27.42 billion USD was common stock at par value plus added capital paid in and then the remaining 92.28 billion USD was earnings retained but after deducting accumulated income of 345 million USD. The company’s outstanding shares were recorded as 5.579 billion. </w:t>
      </w:r>
      <w:r w:rsidRPr="00ED3790">
        <w:rPr>
          <w:rFonts w:ascii="Times New Roman" w:hAnsi="Times New Roman" w:cs="Times New Roman"/>
          <w:sz w:val="24"/>
          <w:szCs w:val="24"/>
        </w:rPr>
        <w:lastRenderedPageBreak/>
        <w:t xml:space="preserve">Diluted shares or convertible securities were valued at 29.72 million and hence a market cap of over 600 billion USD as at August 2016. </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t>Debt capitalization</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tab/>
        <w:t xml:space="preserve">This is another important factor of a company’s capital structure. These are outside claims by outsiders to the company. Reporting on a company’s debt value is bound to time period. As at 2015, Apple’s Inc. current liabilities (payable within a year) stood at 80.61 billion USD, having been credited 35.49 billion USD and incurred expenses worth 8.94 billion USD of deferred revenue, and 11 billion USD form current notes and bonds. Non-current debts and liabilities amounted to 90.51 billion USD summing liabilities to 171.124 billion USD. This had increased immensely considering the previous ones. </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t>Leverage</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tab/>
        <w:t xml:space="preserve">Apple is reported to have started issuing bonds and notes in the year 2013. At that particular year, an amount of debt worth 64.46 billion USD was underwritten. </w:t>
      </w:r>
    </w:p>
    <w:p w:rsidR="00ED3790" w:rsidRPr="00ED3790" w:rsidRDefault="00ED3790" w:rsidP="00ED3790">
      <w:pPr>
        <w:spacing w:before="100" w:beforeAutospacing="1" w:after="100" w:afterAutospacing="1" w:line="480" w:lineRule="auto"/>
        <w:contextualSpacing/>
        <w:jc w:val="center"/>
        <w:rPr>
          <w:rFonts w:ascii="Times New Roman" w:hAnsi="Times New Roman" w:cs="Times New Roman"/>
          <w:sz w:val="24"/>
          <w:szCs w:val="24"/>
        </w:rPr>
      </w:pPr>
      <w:r w:rsidRPr="00ED3790">
        <w:rPr>
          <w:rFonts w:ascii="Times New Roman" w:hAnsi="Times New Roman" w:cs="Times New Roman"/>
          <w:sz w:val="24"/>
          <w:szCs w:val="24"/>
        </w:rPr>
        <w:t>Apple’s ratio analysis</w:t>
      </w:r>
    </w:p>
    <w:p w:rsidR="00ED3790" w:rsidRPr="00ED3790" w:rsidRDefault="00ED3790" w:rsidP="00ED3790">
      <w:pPr>
        <w:spacing w:before="100" w:beforeAutospacing="1" w:after="100" w:afterAutospacing="1" w:line="480" w:lineRule="auto"/>
        <w:ind w:firstLine="720"/>
        <w:contextualSpacing/>
        <w:rPr>
          <w:rFonts w:ascii="Times New Roman" w:hAnsi="Times New Roman" w:cs="Times New Roman"/>
          <w:sz w:val="24"/>
          <w:szCs w:val="24"/>
        </w:rPr>
      </w:pPr>
      <w:r w:rsidRPr="00ED3790">
        <w:rPr>
          <w:rFonts w:ascii="Times New Roman" w:hAnsi="Times New Roman" w:cs="Times New Roman"/>
          <w:sz w:val="24"/>
          <w:szCs w:val="24"/>
        </w:rPr>
        <w:t>In this section, I will analyze some of the most useful efficiency and profitability ratios over the past 3 or so years in a view to determine its performance.</w:t>
      </w:r>
    </w:p>
    <w:tbl>
      <w:tblPr>
        <w:tblStyle w:val="TableGrid"/>
        <w:tblW w:w="0" w:type="auto"/>
        <w:tblLook w:val="04A0" w:firstRow="1" w:lastRow="0" w:firstColumn="1" w:lastColumn="0" w:noHBand="0" w:noVBand="1"/>
      </w:tblPr>
      <w:tblGrid>
        <w:gridCol w:w="1906"/>
        <w:gridCol w:w="1768"/>
        <w:gridCol w:w="1892"/>
        <w:gridCol w:w="1892"/>
        <w:gridCol w:w="1892"/>
      </w:tblGrid>
      <w:tr w:rsidR="00ED3790" w:rsidRPr="00ED3790" w:rsidTr="00443592">
        <w:tc>
          <w:tcPr>
            <w:tcW w:w="1906" w:type="dxa"/>
            <w:tcBorders>
              <w:bottom w:val="nil"/>
            </w:tcBorders>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Ratio</w:t>
            </w:r>
          </w:p>
        </w:tc>
        <w:tc>
          <w:tcPr>
            <w:tcW w:w="1768" w:type="dxa"/>
            <w:tcBorders>
              <w:right w:val="nil"/>
            </w:tcBorders>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p>
        </w:tc>
        <w:tc>
          <w:tcPr>
            <w:tcW w:w="1892" w:type="dxa"/>
            <w:tcBorders>
              <w:left w:val="nil"/>
              <w:right w:val="nil"/>
            </w:tcBorders>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p>
        </w:tc>
        <w:tc>
          <w:tcPr>
            <w:tcW w:w="1892" w:type="dxa"/>
            <w:tcBorders>
              <w:left w:val="nil"/>
              <w:right w:val="nil"/>
            </w:tcBorders>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 xml:space="preserve">Year </w:t>
            </w:r>
          </w:p>
        </w:tc>
        <w:tc>
          <w:tcPr>
            <w:tcW w:w="1892" w:type="dxa"/>
            <w:tcBorders>
              <w:left w:val="nil"/>
            </w:tcBorders>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p>
        </w:tc>
      </w:tr>
      <w:tr w:rsidR="00ED3790" w:rsidRPr="00ED3790" w:rsidTr="00443592">
        <w:tc>
          <w:tcPr>
            <w:tcW w:w="1906" w:type="dxa"/>
            <w:tcBorders>
              <w:top w:val="nil"/>
            </w:tcBorders>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p>
        </w:tc>
        <w:tc>
          <w:tcPr>
            <w:tcW w:w="1768"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2014</w:t>
            </w:r>
          </w:p>
        </w:tc>
        <w:tc>
          <w:tcPr>
            <w:tcW w:w="1892" w:type="dxa"/>
            <w:tcBorders>
              <w:right w:val="nil"/>
            </w:tcBorders>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2015</w:t>
            </w:r>
          </w:p>
        </w:tc>
        <w:tc>
          <w:tcPr>
            <w:tcW w:w="1892" w:type="dxa"/>
            <w:tcBorders>
              <w:left w:val="nil"/>
              <w:right w:val="nil"/>
            </w:tcBorders>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2016</w:t>
            </w:r>
          </w:p>
        </w:tc>
        <w:tc>
          <w:tcPr>
            <w:tcW w:w="1892" w:type="dxa"/>
            <w:tcBorders>
              <w:left w:val="nil"/>
            </w:tcBorders>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2017</w:t>
            </w:r>
          </w:p>
        </w:tc>
      </w:tr>
      <w:tr w:rsidR="00ED3790" w:rsidRPr="00ED3790" w:rsidTr="00443592">
        <w:tc>
          <w:tcPr>
            <w:tcW w:w="1906"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Gross margin %</w:t>
            </w:r>
          </w:p>
        </w:tc>
        <w:tc>
          <w:tcPr>
            <w:tcW w:w="1768"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38.59</w:t>
            </w:r>
          </w:p>
        </w:tc>
        <w:tc>
          <w:tcPr>
            <w:tcW w:w="1892"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40.06</w:t>
            </w:r>
          </w:p>
        </w:tc>
        <w:tc>
          <w:tcPr>
            <w:tcW w:w="1892"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39.08</w:t>
            </w:r>
          </w:p>
        </w:tc>
        <w:tc>
          <w:tcPr>
            <w:tcW w:w="1892"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38.47</w:t>
            </w:r>
          </w:p>
        </w:tc>
      </w:tr>
      <w:tr w:rsidR="00ED3790" w:rsidRPr="00ED3790" w:rsidTr="00443592">
        <w:tc>
          <w:tcPr>
            <w:tcW w:w="1906"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lastRenderedPageBreak/>
              <w:t>Operating margin %</w:t>
            </w:r>
          </w:p>
        </w:tc>
        <w:tc>
          <w:tcPr>
            <w:tcW w:w="1768"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29</w:t>
            </w:r>
          </w:p>
        </w:tc>
        <w:tc>
          <w:tcPr>
            <w:tcW w:w="1892"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30</w:t>
            </w:r>
          </w:p>
        </w:tc>
        <w:tc>
          <w:tcPr>
            <w:tcW w:w="1892"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28</w:t>
            </w:r>
          </w:p>
        </w:tc>
        <w:tc>
          <w:tcPr>
            <w:tcW w:w="1892"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27</w:t>
            </w:r>
          </w:p>
        </w:tc>
      </w:tr>
      <w:tr w:rsidR="00ED3790" w:rsidRPr="00ED3790" w:rsidTr="00443592">
        <w:tc>
          <w:tcPr>
            <w:tcW w:w="1906"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 xml:space="preserve">Profit margin % </w:t>
            </w:r>
          </w:p>
        </w:tc>
        <w:tc>
          <w:tcPr>
            <w:tcW w:w="1768"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22</w:t>
            </w:r>
          </w:p>
        </w:tc>
        <w:tc>
          <w:tcPr>
            <w:tcW w:w="1892"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23</w:t>
            </w:r>
          </w:p>
        </w:tc>
        <w:tc>
          <w:tcPr>
            <w:tcW w:w="1892"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21</w:t>
            </w:r>
          </w:p>
        </w:tc>
        <w:tc>
          <w:tcPr>
            <w:tcW w:w="1892"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21</w:t>
            </w:r>
          </w:p>
        </w:tc>
      </w:tr>
      <w:tr w:rsidR="00ED3790" w:rsidRPr="00ED3790" w:rsidTr="00443592">
        <w:tc>
          <w:tcPr>
            <w:tcW w:w="1906"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Return on assets %</w:t>
            </w:r>
          </w:p>
        </w:tc>
        <w:tc>
          <w:tcPr>
            <w:tcW w:w="1768"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18.01</w:t>
            </w:r>
          </w:p>
        </w:tc>
        <w:tc>
          <w:tcPr>
            <w:tcW w:w="1892"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20.45</w:t>
            </w:r>
          </w:p>
        </w:tc>
        <w:tc>
          <w:tcPr>
            <w:tcW w:w="1892"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14.93</w:t>
            </w:r>
          </w:p>
        </w:tc>
        <w:tc>
          <w:tcPr>
            <w:tcW w:w="1892"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13.87</w:t>
            </w:r>
          </w:p>
        </w:tc>
      </w:tr>
      <w:tr w:rsidR="00ED3790" w:rsidRPr="00ED3790" w:rsidTr="00443592">
        <w:tc>
          <w:tcPr>
            <w:tcW w:w="1906"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Return on equity %</w:t>
            </w:r>
          </w:p>
        </w:tc>
        <w:tc>
          <w:tcPr>
            <w:tcW w:w="1768"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33.61</w:t>
            </w:r>
          </w:p>
        </w:tc>
        <w:tc>
          <w:tcPr>
            <w:tcW w:w="1892"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46.25</w:t>
            </w:r>
          </w:p>
        </w:tc>
        <w:tc>
          <w:tcPr>
            <w:tcW w:w="1892"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36.90</w:t>
            </w:r>
          </w:p>
        </w:tc>
        <w:tc>
          <w:tcPr>
            <w:tcW w:w="1892"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36.87</w:t>
            </w:r>
          </w:p>
        </w:tc>
      </w:tr>
      <w:tr w:rsidR="00ED3790" w:rsidRPr="00ED3790" w:rsidTr="00443592">
        <w:tc>
          <w:tcPr>
            <w:tcW w:w="1906"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Return on invested capital %</w:t>
            </w:r>
          </w:p>
        </w:tc>
        <w:tc>
          <w:tcPr>
            <w:tcW w:w="1768"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26.20</w:t>
            </w:r>
          </w:p>
        </w:tc>
        <w:tc>
          <w:tcPr>
            <w:tcW w:w="1892"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31.32</w:t>
            </w:r>
          </w:p>
        </w:tc>
        <w:tc>
          <w:tcPr>
            <w:tcW w:w="1892"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21.95</w:t>
            </w:r>
          </w:p>
        </w:tc>
        <w:tc>
          <w:tcPr>
            <w:tcW w:w="1892"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19.86</w:t>
            </w:r>
          </w:p>
        </w:tc>
      </w:tr>
      <w:tr w:rsidR="00ED3790" w:rsidRPr="00ED3790" w:rsidTr="00443592">
        <w:tc>
          <w:tcPr>
            <w:tcW w:w="1906"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Current ratio %</w:t>
            </w:r>
          </w:p>
        </w:tc>
        <w:tc>
          <w:tcPr>
            <w:tcW w:w="1768"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108</w:t>
            </w:r>
          </w:p>
        </w:tc>
        <w:tc>
          <w:tcPr>
            <w:tcW w:w="1892"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111</w:t>
            </w:r>
          </w:p>
        </w:tc>
        <w:tc>
          <w:tcPr>
            <w:tcW w:w="1892"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135</w:t>
            </w:r>
          </w:p>
        </w:tc>
        <w:tc>
          <w:tcPr>
            <w:tcW w:w="1892"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128</w:t>
            </w:r>
          </w:p>
        </w:tc>
      </w:tr>
      <w:tr w:rsidR="00ED3790" w:rsidRPr="00ED3790" w:rsidTr="00443592">
        <w:tc>
          <w:tcPr>
            <w:tcW w:w="1906"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Quick ratio %</w:t>
            </w:r>
          </w:p>
        </w:tc>
        <w:tc>
          <w:tcPr>
            <w:tcW w:w="1768"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105</w:t>
            </w:r>
          </w:p>
        </w:tc>
        <w:tc>
          <w:tcPr>
            <w:tcW w:w="1892"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108</w:t>
            </w:r>
          </w:p>
        </w:tc>
        <w:tc>
          <w:tcPr>
            <w:tcW w:w="1892"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133</w:t>
            </w:r>
          </w:p>
        </w:tc>
        <w:tc>
          <w:tcPr>
            <w:tcW w:w="1892"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123</w:t>
            </w:r>
          </w:p>
        </w:tc>
      </w:tr>
      <w:tr w:rsidR="00ED3790" w:rsidRPr="00ED3790" w:rsidTr="00443592">
        <w:tc>
          <w:tcPr>
            <w:tcW w:w="1906"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Cash ratio %</w:t>
            </w:r>
          </w:p>
        </w:tc>
        <w:tc>
          <w:tcPr>
            <w:tcW w:w="1768"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40</w:t>
            </w:r>
          </w:p>
        </w:tc>
        <w:tc>
          <w:tcPr>
            <w:tcW w:w="1892"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52</w:t>
            </w:r>
          </w:p>
        </w:tc>
        <w:tc>
          <w:tcPr>
            <w:tcW w:w="1892"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85</w:t>
            </w:r>
          </w:p>
        </w:tc>
        <w:tc>
          <w:tcPr>
            <w:tcW w:w="1892" w:type="dxa"/>
          </w:tcPr>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74</w:t>
            </w:r>
          </w:p>
        </w:tc>
      </w:tr>
    </w:tbl>
    <w:p w:rsidR="00ED3790" w:rsidRPr="00ED3790" w:rsidRDefault="00ED3790" w:rsidP="00ED3790">
      <w:pPr>
        <w:spacing w:before="100" w:beforeAutospacing="1" w:after="100" w:afterAutospacing="1" w:line="480" w:lineRule="auto"/>
        <w:contextualSpacing/>
        <w:rPr>
          <w:rFonts w:ascii="Times New Roman" w:hAnsi="Times New Roman" w:cs="Times New Roman"/>
          <w:sz w:val="24"/>
          <w:szCs w:val="24"/>
        </w:rPr>
      </w:pPr>
      <w:r w:rsidRPr="00ED3790">
        <w:rPr>
          <w:rFonts w:ascii="Times New Roman" w:hAnsi="Times New Roman" w:cs="Times New Roman"/>
          <w:sz w:val="24"/>
          <w:szCs w:val="24"/>
        </w:rPr>
        <w:t xml:space="preserve">Source: NASDAQ </w:t>
      </w:r>
      <w:r w:rsidRPr="00ED3790">
        <w:rPr>
          <w:rFonts w:ascii="Times New Roman" w:hAnsi="Times New Roman" w:cs="Times New Roman"/>
          <w:sz w:val="24"/>
          <w:szCs w:val="24"/>
          <w:shd w:val="clear" w:color="auto" w:fill="FFFFFF"/>
        </w:rPr>
        <w:t>Mar. 1, 2018</w:t>
      </w:r>
      <w:r w:rsidRPr="00ED3790">
        <w:rPr>
          <w:rFonts w:ascii="Times New Roman" w:hAnsi="Times New Roman" w:cs="Times New Roman"/>
          <w:sz w:val="24"/>
          <w:szCs w:val="24"/>
        </w:rPr>
        <w:t xml:space="preserve"> </w:t>
      </w:r>
    </w:p>
    <w:p w:rsidR="00ED3790" w:rsidRPr="00ED3790" w:rsidRDefault="00ED3790" w:rsidP="00ED3790">
      <w:pPr>
        <w:spacing w:before="100" w:beforeAutospacing="1" w:after="100" w:afterAutospacing="1" w:line="480" w:lineRule="auto"/>
        <w:ind w:firstLine="720"/>
        <w:contextualSpacing/>
        <w:rPr>
          <w:rFonts w:ascii="Times New Roman" w:hAnsi="Times New Roman" w:cs="Times New Roman"/>
          <w:sz w:val="24"/>
          <w:szCs w:val="24"/>
        </w:rPr>
      </w:pPr>
      <w:r w:rsidRPr="00ED3790">
        <w:rPr>
          <w:rFonts w:ascii="Times New Roman" w:hAnsi="Times New Roman" w:cs="Times New Roman"/>
          <w:sz w:val="24"/>
          <w:szCs w:val="24"/>
        </w:rPr>
        <w:t xml:space="preserve">The ratios of interest in this particular context are liquidity and profitability ratios (Śliwiński et al, 2017). Liquidity ratios: </w:t>
      </w:r>
    </w:p>
    <w:p w:rsidR="00ED3790" w:rsidRPr="00ED3790" w:rsidRDefault="00ED3790" w:rsidP="00ED3790">
      <w:pPr>
        <w:spacing w:before="100" w:beforeAutospacing="1" w:after="100" w:afterAutospacing="1" w:line="480" w:lineRule="auto"/>
        <w:rPr>
          <w:rFonts w:ascii="Times New Roman" w:hAnsi="Times New Roman" w:cs="Times New Roman"/>
          <w:color w:val="000000"/>
          <w:sz w:val="24"/>
          <w:szCs w:val="24"/>
          <w:shd w:val="clear" w:color="auto" w:fill="FFFFFF"/>
        </w:rPr>
      </w:pPr>
      <w:r w:rsidRPr="00ED3790">
        <w:rPr>
          <w:rFonts w:ascii="Times New Roman" w:hAnsi="Times New Roman" w:cs="Times New Roman"/>
          <w:color w:val="000000"/>
          <w:sz w:val="24"/>
          <w:szCs w:val="24"/>
          <w:shd w:val="clear" w:color="auto" w:fill="FFFFFF"/>
        </w:rPr>
        <w:t>Current ratio – it measures the relationship between the current assets and the current liabilities</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color w:val="000000"/>
          <w:sz w:val="24"/>
          <w:szCs w:val="24"/>
          <w:shd w:val="clear" w:color="auto" w:fill="FFFFFF"/>
        </w:rPr>
        <w:t>Quick ratio – this is a liquidity ratio that helps determine whether the company is in a position to meet its short-term liabilities or obligations</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color w:val="000000"/>
          <w:sz w:val="24"/>
          <w:szCs w:val="24"/>
          <w:shd w:val="clear" w:color="auto" w:fill="FFFFFF"/>
        </w:rPr>
        <w:t>Cash ratio – what is the company’s capacity when it comes to its short term claims by outsiders and even the shareholders</w:t>
      </w:r>
    </w:p>
    <w:p w:rsidR="00ED3790" w:rsidRPr="00ED3790" w:rsidRDefault="00ED3790" w:rsidP="00ED3790">
      <w:pPr>
        <w:spacing w:before="100" w:beforeAutospacing="1" w:after="100" w:afterAutospacing="1" w:line="480" w:lineRule="auto"/>
        <w:ind w:firstLine="720"/>
        <w:rPr>
          <w:rFonts w:ascii="Times New Roman" w:hAnsi="Times New Roman" w:cs="Times New Roman"/>
          <w:sz w:val="24"/>
          <w:szCs w:val="24"/>
        </w:rPr>
      </w:pPr>
      <w:r w:rsidRPr="00ED3790">
        <w:rPr>
          <w:rFonts w:ascii="Times New Roman" w:hAnsi="Times New Roman" w:cs="Times New Roman"/>
          <w:color w:val="000000"/>
          <w:sz w:val="24"/>
          <w:szCs w:val="24"/>
          <w:shd w:val="clear" w:color="auto" w:fill="FFFFFF"/>
        </w:rPr>
        <w:lastRenderedPageBreak/>
        <w:t>Profitability ratios: these are ratios that measure the firm’s ability to earn a profitable return</w:t>
      </w:r>
      <w:r w:rsidRPr="00ED3790">
        <w:rPr>
          <w:rFonts w:ascii="Times New Roman" w:hAnsi="Times New Roman" w:cs="Times New Roman"/>
          <w:sz w:val="24"/>
          <w:szCs w:val="24"/>
        </w:rPr>
        <w:t>.</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color w:val="000000"/>
          <w:sz w:val="24"/>
          <w:szCs w:val="24"/>
          <w:shd w:val="clear" w:color="auto" w:fill="FFFFFF"/>
        </w:rPr>
        <w:t xml:space="preserve">Gross profit margin – this is the margin of profit, in other words. It is given by Apple’s gross income (i.e. revenue from the sale of commodities minus costs) divided by net revenues. </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color w:val="000000"/>
          <w:sz w:val="24"/>
          <w:szCs w:val="24"/>
          <w:shd w:val="clear" w:color="auto" w:fill="FFFFFF"/>
        </w:rPr>
        <w:t xml:space="preserve">Operating profit margin – it’s a profitability ratio that shows total revenue’s percentage made by operating income. </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color w:val="000000"/>
          <w:sz w:val="24"/>
          <w:szCs w:val="24"/>
          <w:shd w:val="clear" w:color="auto" w:fill="FFFFFF"/>
        </w:rPr>
        <w:t xml:space="preserve">Net profit margin –this is what remains from revenue after all expenses have been paid and interest, taxes and dividends paid out. </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color w:val="000000"/>
          <w:sz w:val="24"/>
          <w:szCs w:val="24"/>
          <w:shd w:val="clear" w:color="auto" w:fill="FFFFFF"/>
        </w:rPr>
        <w:t xml:space="preserve">Return on equity – measures Apple’s Inc. ability to derive profits from its shareholder’s investments. </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color w:val="000000"/>
          <w:sz w:val="24"/>
          <w:szCs w:val="24"/>
          <w:shd w:val="clear" w:color="auto" w:fill="FFFFFF"/>
        </w:rPr>
        <w:t xml:space="preserve">Returns on assets – a ratio that computes the total income earned from assets. How assets are profitable to the Apple’s company. </w:t>
      </w:r>
    </w:p>
    <w:p w:rsidR="00ED3790" w:rsidRPr="00ED3790" w:rsidRDefault="00ED3790" w:rsidP="00ED3790">
      <w:pPr>
        <w:spacing w:before="100" w:beforeAutospacing="1" w:after="100" w:afterAutospacing="1" w:line="480" w:lineRule="auto"/>
        <w:jc w:val="center"/>
        <w:rPr>
          <w:rFonts w:ascii="Times New Roman" w:hAnsi="Times New Roman" w:cs="Times New Roman"/>
          <w:sz w:val="24"/>
          <w:szCs w:val="24"/>
        </w:rPr>
      </w:pPr>
      <w:r w:rsidRPr="00ED3790">
        <w:rPr>
          <w:rFonts w:ascii="Times New Roman" w:hAnsi="Times New Roman" w:cs="Times New Roman"/>
          <w:sz w:val="24"/>
          <w:szCs w:val="24"/>
        </w:rPr>
        <w:t>Corporate capital budgeting</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tab/>
        <w:t>Apple has utilized both discounted and non-discounted capital budgeting methods. Over the years, the company has had budgets of the amounts represented in the below graph. The company has increased its budget over the year as it has sought to invest on permanent assets. Additionally, it has sought to increase its revenue growth. Currently, it has a budget of 16 billion USD that it expects to spend in the fiscal year (</w:t>
      </w:r>
      <w:r w:rsidRPr="00ED3790">
        <w:rPr>
          <w:rFonts w:ascii="Times New Roman" w:hAnsi="Times New Roman" w:cs="Times New Roman"/>
          <w:color w:val="373737"/>
          <w:sz w:val="24"/>
          <w:szCs w:val="24"/>
          <w:shd w:val="clear" w:color="auto" w:fill="FFFFFF"/>
        </w:rPr>
        <w:t>Evan, 2017)</w:t>
      </w:r>
      <w:r w:rsidRPr="00ED3790">
        <w:rPr>
          <w:rFonts w:ascii="Times New Roman" w:hAnsi="Times New Roman" w:cs="Times New Roman"/>
          <w:sz w:val="24"/>
          <w:szCs w:val="24"/>
        </w:rPr>
        <w:t xml:space="preserve">. </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noProof/>
          <w:sz w:val="24"/>
          <w:szCs w:val="24"/>
        </w:rPr>
        <w:lastRenderedPageBreak/>
        <w:drawing>
          <wp:inline distT="0" distB="0" distL="0" distR="0">
            <wp:extent cx="5524500" cy="39528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ital expenditure.png"/>
                    <pic:cNvPicPr/>
                  </pic:nvPicPr>
                  <pic:blipFill>
                    <a:blip r:embed="rId7">
                      <a:extLst>
                        <a:ext uri="{28A0092B-C50C-407E-A947-70E740481C1C}">
                          <a14:useLocalDpi xmlns:a14="http://schemas.microsoft.com/office/drawing/2010/main" val="0"/>
                        </a:ext>
                      </a:extLst>
                    </a:blip>
                    <a:stretch>
                      <a:fillRect/>
                    </a:stretch>
                  </pic:blipFill>
                  <pic:spPr>
                    <a:xfrm>
                      <a:off x="0" y="0"/>
                      <a:ext cx="5524500" cy="3952875"/>
                    </a:xfrm>
                    <a:prstGeom prst="rect">
                      <a:avLst/>
                    </a:prstGeom>
                  </pic:spPr>
                </pic:pic>
              </a:graphicData>
            </a:graphic>
          </wp:inline>
        </w:drawing>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t xml:space="preserve">Source: Sec Filings </w:t>
      </w:r>
    </w:p>
    <w:p w:rsidR="00ED3790" w:rsidRPr="00ED3790" w:rsidRDefault="00ED3790" w:rsidP="00ED3790">
      <w:pPr>
        <w:spacing w:before="100" w:beforeAutospacing="1" w:after="100" w:afterAutospacing="1" w:line="480" w:lineRule="auto"/>
        <w:jc w:val="center"/>
        <w:rPr>
          <w:rFonts w:ascii="Times New Roman" w:hAnsi="Times New Roman" w:cs="Times New Roman"/>
          <w:sz w:val="24"/>
          <w:szCs w:val="24"/>
        </w:rPr>
      </w:pPr>
      <w:r w:rsidRPr="00ED3790">
        <w:rPr>
          <w:rFonts w:ascii="Times New Roman" w:hAnsi="Times New Roman" w:cs="Times New Roman"/>
          <w:sz w:val="24"/>
          <w:szCs w:val="24"/>
        </w:rPr>
        <w:t>Intrinsic Value</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tab/>
        <w:t xml:space="preserve">In finance, intrinsic value refers to a specific company’s (for this case Apple Inc.) stock/product/currency value arrived at through fundamental analysis and without considering its value in the market. This value is known to be calculated on the basis of Discounted Cash Flow value or Discounted Earnings value. This means that intrinsic value is never applicable to firms without consistent revenue of past financial years. Below is Apple’s valuation model that is dependent on the company’s book value and normalized free cash flow. </w:t>
      </w:r>
    </w:p>
    <w:tbl>
      <w:tblPr>
        <w:tblW w:w="7000" w:type="dxa"/>
        <w:tblCellMar>
          <w:top w:w="15" w:type="dxa"/>
          <w:left w:w="15" w:type="dxa"/>
          <w:bottom w:w="15" w:type="dxa"/>
          <w:right w:w="15" w:type="dxa"/>
        </w:tblCellMar>
        <w:tblLook w:val="04A0" w:firstRow="1" w:lastRow="0" w:firstColumn="1" w:lastColumn="0" w:noHBand="0" w:noVBand="1"/>
      </w:tblPr>
      <w:tblGrid>
        <w:gridCol w:w="4798"/>
        <w:gridCol w:w="2202"/>
      </w:tblGrid>
      <w:tr w:rsidR="00ED3790" w:rsidRPr="00ED3790" w:rsidTr="00ED3790">
        <w:tc>
          <w:tcPr>
            <w:tcW w:w="0" w:type="auto"/>
            <w:tcBorders>
              <w:bottom w:val="single" w:sz="6" w:space="0" w:color="CCCCCC"/>
            </w:tcBorders>
            <w:shd w:val="clear" w:color="auto" w:fill="auto"/>
            <w:noWrap/>
            <w:tcMar>
              <w:top w:w="45" w:type="dxa"/>
              <w:left w:w="0" w:type="dxa"/>
              <w:bottom w:w="75"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bCs/>
                <w:sz w:val="24"/>
                <w:szCs w:val="24"/>
              </w:rPr>
            </w:pPr>
            <w:r w:rsidRPr="00ED3790">
              <w:rPr>
                <w:rFonts w:ascii="Times New Roman" w:eastAsia="Times New Roman" w:hAnsi="Times New Roman" w:cs="Times New Roman"/>
                <w:bCs/>
                <w:sz w:val="24"/>
                <w:szCs w:val="24"/>
              </w:rPr>
              <w:t>Cash flows</w:t>
            </w:r>
          </w:p>
        </w:tc>
        <w:tc>
          <w:tcPr>
            <w:tcW w:w="0" w:type="auto"/>
            <w:tcBorders>
              <w:bottom w:val="single" w:sz="6" w:space="0" w:color="CCCCCC"/>
            </w:tcBorders>
            <w:shd w:val="clear" w:color="auto" w:fill="auto"/>
            <w:noWrap/>
            <w:tcMar>
              <w:top w:w="45" w:type="dxa"/>
              <w:left w:w="0" w:type="dxa"/>
              <w:bottom w:w="75"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b/>
                <w:bCs/>
                <w:sz w:val="24"/>
                <w:szCs w:val="24"/>
              </w:rPr>
            </w:pPr>
            <w:r w:rsidRPr="00ED3790">
              <w:rPr>
                <w:rFonts w:ascii="Times New Roman" w:eastAsia="Times New Roman" w:hAnsi="Times New Roman" w:cs="Times New Roman"/>
                <w:b/>
                <w:bCs/>
                <w:sz w:val="24"/>
                <w:szCs w:val="24"/>
              </w:rPr>
              <w:t> </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March 31, 2018</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11.09B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lastRenderedPageBreak/>
              <w:t>Dec. 31, 2017</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25.33B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Sept. 30, 2017</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11.66B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June 30, 2017</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5.652B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March 31, 2017</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9.681B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Dec. 31, 2016</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23.81B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Sept. 30, 2016</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12.09B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June 30, 2016</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7.729B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March 31, 2016</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9.002B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Dec. 31, 2015</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23.46B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Sept. 30, 2015</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9.817B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June 30, 2015</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12.90B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March 31, 2015</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16.60B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Dec. 31, 2014</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30.46B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Sept. 30, 2014</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9.398B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June 30, 2014</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7.824B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March 31, 2014</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12.05B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Dec. 31, 2013</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20.63B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Sept. 30, 2013</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7.602B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June 30, 2013</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5.812B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March 31, 2013</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10.20B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Dec. 31, 2012</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20.97B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Sept. 30, 2012</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5.635B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June 30, 2012</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7.226B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March 31, 2012</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sz w:val="24"/>
                <w:szCs w:val="24"/>
              </w:rPr>
            </w:pPr>
            <w:r w:rsidRPr="00ED3790">
              <w:rPr>
                <w:rFonts w:ascii="Times New Roman" w:eastAsia="Times New Roman" w:hAnsi="Times New Roman" w:cs="Times New Roman"/>
                <w:sz w:val="24"/>
                <w:szCs w:val="24"/>
              </w:rPr>
              <w:t>12.47B</w:t>
            </w:r>
          </w:p>
        </w:tc>
      </w:tr>
    </w:tbl>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t>Source: Ycharts 2018.</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tab/>
        <w:t xml:space="preserve">According to the computations done by Guru Focus, today, Apple Inc. has a projected FCF intrinsic value of 174.77 USD. With a stock price of 185.11 USD, the company price to intrinsic value ratio is reached as one is to one (1:1). This data has rotated nearly around similar values for the past 10 years with a minimum intrinsic value of 0.47 and a maximum one of 4.26. The current value range is actually 1.06. This value is measured to be higher than two thirds of entire companies (1289) in the industry, globally. </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lastRenderedPageBreak/>
        <w:tab/>
        <w:t xml:space="preserve">This is the calculation: </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t>Intrinsic value = (Average 6 year Free Cash Flow*Growth Multiple + Stockholders Equity in total (for this case March 18</w:t>
      </w:r>
      <w:r w:rsidRPr="00ED3790">
        <w:rPr>
          <w:rFonts w:ascii="Times New Roman" w:hAnsi="Times New Roman" w:cs="Times New Roman"/>
          <w:sz w:val="24"/>
          <w:szCs w:val="24"/>
          <w:vertAlign w:val="superscript"/>
        </w:rPr>
        <w:t>th</w:t>
      </w:r>
      <w:r w:rsidRPr="00ED3790">
        <w:rPr>
          <w:rFonts w:ascii="Times New Roman" w:hAnsi="Times New Roman" w:cs="Times New Roman"/>
          <w:sz w:val="24"/>
          <w:szCs w:val="24"/>
        </w:rPr>
        <w:t>)*0.8) / Diluted Outstanding Average Shares</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tab/>
        <w:t>= (52,771 * 14.8627 + 126878 * 0.8) / 5068.493</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tab/>
        <w:t>= 174.77 (intrinsic value)</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t>And Apple Inc.’s price to Intrinsic Value: Projected FCF Ratio as of today is computed as:</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tab/>
        <w:t>= share or stock price / intrinsic value</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tab/>
        <w:t>= 185.11 / 174.77</w:t>
      </w:r>
    </w:p>
    <w:p w:rsidR="00ED3790" w:rsidRDefault="00ED3790" w:rsidP="0077195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 1.06</w:t>
      </w:r>
    </w:p>
    <w:p w:rsidR="00ED3790" w:rsidRPr="00ED3790" w:rsidRDefault="00ED3790" w:rsidP="00ED3790">
      <w:pPr>
        <w:spacing w:before="100" w:beforeAutospacing="1" w:after="100" w:afterAutospacing="1" w:line="480" w:lineRule="auto"/>
        <w:jc w:val="center"/>
        <w:rPr>
          <w:rFonts w:ascii="Times New Roman" w:hAnsi="Times New Roman" w:cs="Times New Roman"/>
          <w:sz w:val="24"/>
          <w:szCs w:val="24"/>
        </w:rPr>
      </w:pPr>
      <w:r w:rsidRPr="00ED3790">
        <w:rPr>
          <w:rFonts w:ascii="Times New Roman" w:hAnsi="Times New Roman" w:cs="Times New Roman"/>
          <w:sz w:val="24"/>
          <w:szCs w:val="24"/>
        </w:rPr>
        <w:t>Market value</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tab/>
        <w:t xml:space="preserve">Market value is interpreted as a firm’s value in the economy on the basis of the outstanding shares and the consistent share price. It is a representation of how the market views the shares of the company in terms of value since it determines stock valuation. </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tab/>
        <w:t xml:space="preserve">The Apple Inc., being the world best and largest information technology in terms of revenue, has a mega market value. With a stock price not going below 175 USD, the company’s market cap is nearly hitting a trillion USD. In the course of 2018, the company has recorded intriguing market value with June having the hugest value of 953 billion USD. Apple is beating up the odds and making its business count day after the other. Other companies in the US that are </w:t>
      </w:r>
      <w:r w:rsidRPr="00ED3790">
        <w:rPr>
          <w:rFonts w:ascii="Times New Roman" w:hAnsi="Times New Roman" w:cs="Times New Roman"/>
          <w:sz w:val="24"/>
          <w:szCs w:val="24"/>
        </w:rPr>
        <w:lastRenderedPageBreak/>
        <w:t xml:space="preserve">nearly hitting a trillion USD market value as Apple include the Amazon.com, Google Parent Alphabet and Microsoft. </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t>The table below show the Apple Inc.’s market value with a representation graphical picture thereafter:</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p>
    <w:tbl>
      <w:tblPr>
        <w:tblW w:w="7000" w:type="dxa"/>
        <w:shd w:val="clear" w:color="auto" w:fill="FFFFFF"/>
        <w:tblCellMar>
          <w:top w:w="15" w:type="dxa"/>
          <w:left w:w="15" w:type="dxa"/>
          <w:bottom w:w="15" w:type="dxa"/>
          <w:right w:w="15" w:type="dxa"/>
        </w:tblCellMar>
        <w:tblLook w:val="04A0" w:firstRow="1" w:lastRow="0" w:firstColumn="1" w:lastColumn="0" w:noHBand="0" w:noVBand="1"/>
      </w:tblPr>
      <w:tblGrid>
        <w:gridCol w:w="4341"/>
        <w:gridCol w:w="2659"/>
      </w:tblGrid>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June 29, 2018</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909.84B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June 28, 2018</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911.76B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June 27, 2018</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905.17B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June 26, 2018</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906.50B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June 25, 2018</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895.39B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June 22, 2018</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908.91B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June 21, 2018</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911.56B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June 20, 2018</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916.67B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June 19, 2018</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912.69B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June 18, 2018</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927.68B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June 15, 2018</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928.17B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June 14, 2018</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937.81B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June 13, 2018</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937.32B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June 12, 2018</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945.08B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June 11, 2018</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939.92B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June 8, 2018</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942.23B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June 7, 2018</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950.88B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June 6, 2018</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953.44B</w:t>
            </w:r>
          </w:p>
        </w:tc>
      </w:tr>
      <w:tr w:rsidR="00ED3790" w:rsidRPr="00ED3790" w:rsidTr="00ED3790">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June 4, 2018</w:t>
            </w:r>
          </w:p>
        </w:tc>
        <w:tc>
          <w:tcPr>
            <w:tcW w:w="0" w:type="auto"/>
            <w:tcBorders>
              <w:bottom w:val="single" w:sz="6" w:space="0" w:color="CCCCCC"/>
            </w:tcBorders>
            <w:shd w:val="clear" w:color="auto" w:fill="auto"/>
            <w:noWrap/>
            <w:tcMar>
              <w:top w:w="45" w:type="dxa"/>
              <w:left w:w="0" w:type="dxa"/>
              <w:bottom w:w="30" w:type="dxa"/>
              <w:right w:w="0" w:type="dxa"/>
            </w:tcMar>
            <w:hideMark/>
          </w:tcPr>
          <w:p w:rsidR="00ED3790" w:rsidRPr="00ED3790" w:rsidRDefault="00ED3790" w:rsidP="00ED3790">
            <w:pPr>
              <w:spacing w:before="100" w:beforeAutospacing="1" w:after="100" w:afterAutospacing="1" w:line="240" w:lineRule="auto"/>
              <w:jc w:val="right"/>
              <w:rPr>
                <w:rFonts w:ascii="Times New Roman" w:eastAsia="Times New Roman" w:hAnsi="Times New Roman" w:cs="Times New Roman"/>
                <w:color w:val="000000"/>
                <w:sz w:val="24"/>
                <w:szCs w:val="24"/>
              </w:rPr>
            </w:pPr>
            <w:r w:rsidRPr="00ED3790">
              <w:rPr>
                <w:rFonts w:ascii="Times New Roman" w:eastAsia="Times New Roman" w:hAnsi="Times New Roman" w:cs="Times New Roman"/>
                <w:color w:val="000000"/>
                <w:sz w:val="24"/>
                <w:szCs w:val="24"/>
              </w:rPr>
              <w:t>942.87B</w:t>
            </w:r>
          </w:p>
        </w:tc>
      </w:tr>
    </w:tbl>
    <w:p w:rsidR="00ED3790" w:rsidRPr="00ED3790" w:rsidRDefault="00ED3790" w:rsidP="00ED3790">
      <w:pPr>
        <w:spacing w:before="100" w:beforeAutospacing="1" w:after="100" w:afterAutospacing="1" w:line="240" w:lineRule="auto"/>
        <w:rPr>
          <w:rFonts w:ascii="Times New Roman" w:hAnsi="Times New Roman" w:cs="Times New Roman"/>
          <w:sz w:val="24"/>
          <w:szCs w:val="24"/>
        </w:rPr>
      </w:pPr>
      <w:r w:rsidRPr="00ED3790">
        <w:rPr>
          <w:rFonts w:ascii="Times New Roman" w:hAnsi="Times New Roman" w:cs="Times New Roman"/>
          <w:sz w:val="24"/>
          <w:szCs w:val="24"/>
        </w:rPr>
        <w:t>Source: YCHARTS 2018</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t>Graphical representation with a market value of 909.84 billion USD as at 29</w:t>
      </w:r>
      <w:r w:rsidRPr="00ED3790">
        <w:rPr>
          <w:rFonts w:ascii="Times New Roman" w:hAnsi="Times New Roman" w:cs="Times New Roman"/>
          <w:sz w:val="24"/>
          <w:szCs w:val="24"/>
          <w:vertAlign w:val="superscript"/>
        </w:rPr>
        <w:t>th</w:t>
      </w:r>
      <w:r w:rsidRPr="00ED3790">
        <w:rPr>
          <w:rFonts w:ascii="Times New Roman" w:hAnsi="Times New Roman" w:cs="Times New Roman"/>
          <w:sz w:val="24"/>
          <w:szCs w:val="24"/>
        </w:rPr>
        <w:t xml:space="preserve"> June, 2018. </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noProof/>
          <w:sz w:val="24"/>
          <w:szCs w:val="24"/>
        </w:rPr>
        <w:lastRenderedPageBreak/>
        <w:drawing>
          <wp:inline distT="0" distB="0" distL="0" distR="0">
            <wp:extent cx="6365174" cy="20186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PPLE market Value.PNG"/>
                    <pic:cNvPicPr/>
                  </pic:nvPicPr>
                  <pic:blipFill>
                    <a:blip r:embed="rId8">
                      <a:extLst>
                        <a:ext uri="{28A0092B-C50C-407E-A947-70E740481C1C}">
                          <a14:useLocalDpi xmlns:a14="http://schemas.microsoft.com/office/drawing/2010/main" val="0"/>
                        </a:ext>
                      </a:extLst>
                    </a:blip>
                    <a:stretch>
                      <a:fillRect/>
                    </a:stretch>
                  </pic:blipFill>
                  <pic:spPr>
                    <a:xfrm>
                      <a:off x="0" y="0"/>
                      <a:ext cx="6409300" cy="2032659"/>
                    </a:xfrm>
                    <a:prstGeom prst="rect">
                      <a:avLst/>
                    </a:prstGeom>
                  </pic:spPr>
                </pic:pic>
              </a:graphicData>
            </a:graphic>
          </wp:inline>
        </w:drawing>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t>Source: YCHARTS 2018</w:t>
      </w:r>
    </w:p>
    <w:p w:rsidR="00ED3790" w:rsidRPr="00ED3790" w:rsidRDefault="00ED3790" w:rsidP="00ED3790">
      <w:pPr>
        <w:spacing w:before="100" w:beforeAutospacing="1" w:after="100" w:afterAutospacing="1" w:line="480" w:lineRule="auto"/>
        <w:jc w:val="center"/>
        <w:rPr>
          <w:rFonts w:ascii="Times New Roman" w:hAnsi="Times New Roman" w:cs="Times New Roman"/>
          <w:sz w:val="24"/>
          <w:szCs w:val="24"/>
        </w:rPr>
      </w:pPr>
      <w:r w:rsidRPr="00ED3790">
        <w:rPr>
          <w:rFonts w:ascii="Times New Roman" w:hAnsi="Times New Roman" w:cs="Times New Roman"/>
          <w:sz w:val="24"/>
          <w:szCs w:val="24"/>
        </w:rPr>
        <w:t>Apple’s business strategy</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tab/>
        <w:t xml:space="preserve">Apple Inc. has a business strategy that integrates differentiation in both product design and functionality (Apple Inc., 2017). Forming the bases of the company’s competitive advantage, is the advancements and capabilities reflected in its products and services. The company also builds and grows retail platforms, online stores and agent distribution outlets purposely to reach wider markets. Quality of the products is tandem with customer needs and the company also offers post-sale services. Not disclosing third party applications and digital content via the iTunes store is yet another strategy for the growth of this company. Having products preferred throughout the globe, Apple has a sought to expand the international market as a vital factor of its business strategy. </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tab/>
        <w:t xml:space="preserve">Vertical integration is also a characteristic of the Apple business strategy. This means that the company has exemplified skills in hardware, software and services simultaneously. This aspect has distinguished the company from others relieving it on the risks of competition since the industry is flooded. Benefits attributed to the vertical integration are immense – for instance, </w:t>
      </w:r>
      <w:r w:rsidRPr="00ED3790">
        <w:rPr>
          <w:rFonts w:ascii="Times New Roman" w:hAnsi="Times New Roman" w:cs="Times New Roman"/>
          <w:sz w:val="24"/>
          <w:szCs w:val="24"/>
        </w:rPr>
        <w:lastRenderedPageBreak/>
        <w:t xml:space="preserve">it enables the Apple ecosystem which adds to its competitive advantage. This ecosystem allows cost switching among customers. Importantly, it is also associated with the chances of ascendancy relationships with initial customers supplying other company products and services. Since the industry’s products and services change day after the other with technological advancements, the company is up for first mover advantage and keeping new tricks and techniques so as to sustain demand. </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tab/>
        <w:t>Services business is the climax of Apple’s business strategy. For the last six years, the services department has been progressive in revenues accrued. These are services like the Apple store, Apple Music and iCloud subscriptions (</w:t>
      </w:r>
      <w:r w:rsidRPr="00ED3790">
        <w:rPr>
          <w:rFonts w:ascii="Times New Roman" w:hAnsi="Times New Roman" w:cs="Times New Roman"/>
          <w:color w:val="373737"/>
          <w:sz w:val="24"/>
          <w:szCs w:val="24"/>
          <w:shd w:val="clear" w:color="auto" w:fill="FFFFFF"/>
        </w:rPr>
        <w:t>Leswing, 2017)</w:t>
      </w:r>
      <w:r w:rsidRPr="00ED3790">
        <w:rPr>
          <w:rFonts w:ascii="Times New Roman" w:hAnsi="Times New Roman" w:cs="Times New Roman"/>
          <w:sz w:val="24"/>
          <w:szCs w:val="24"/>
        </w:rPr>
        <w:t xml:space="preserve">. </w:t>
      </w:r>
    </w:p>
    <w:p w:rsidR="00ED3790" w:rsidRPr="00ED3790" w:rsidRDefault="00ED3790" w:rsidP="00ED3790">
      <w:pPr>
        <w:spacing w:before="100" w:beforeAutospacing="1" w:after="100" w:afterAutospacing="1" w:line="480" w:lineRule="auto"/>
        <w:jc w:val="center"/>
        <w:rPr>
          <w:rFonts w:ascii="Times New Roman" w:hAnsi="Times New Roman" w:cs="Times New Roman"/>
          <w:sz w:val="24"/>
          <w:szCs w:val="24"/>
        </w:rPr>
      </w:pPr>
      <w:r w:rsidRPr="00ED3790">
        <w:rPr>
          <w:rFonts w:ascii="Times New Roman" w:hAnsi="Times New Roman" w:cs="Times New Roman"/>
          <w:sz w:val="24"/>
          <w:szCs w:val="24"/>
        </w:rPr>
        <w:t>Funding sources</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tab/>
        <w:t xml:space="preserve">Being a publicly traded company, Apple is open to investment from the public. Its large fund source is therefore investment where people buy the company’s shares. Since initiation, there are four main investors who have remained unmoved to this business. </w:t>
      </w:r>
    </w:p>
    <w:p w:rsidR="00ED3790" w:rsidRPr="00ED3790" w:rsidRDefault="00ED3790" w:rsidP="00ED3790">
      <w:pPr>
        <w:spacing w:before="100" w:beforeAutospacing="1" w:after="100" w:afterAutospacing="1" w:line="480" w:lineRule="auto"/>
        <w:ind w:firstLine="720"/>
        <w:rPr>
          <w:rFonts w:ascii="Times New Roman" w:hAnsi="Times New Roman" w:cs="Times New Roman"/>
          <w:sz w:val="24"/>
          <w:szCs w:val="24"/>
        </w:rPr>
      </w:pPr>
      <w:r w:rsidRPr="00ED3790">
        <w:rPr>
          <w:rFonts w:ascii="Times New Roman" w:hAnsi="Times New Roman" w:cs="Times New Roman"/>
          <w:sz w:val="24"/>
          <w:szCs w:val="24"/>
        </w:rPr>
        <w:t xml:space="preserve">Mutual fund: Vanguard Total Stock Market Index (VTSMX) is the largest investor. It is known as a one-time shop trading a variety of large and small capitalized stocks. It holds 3,628 shares. This fund annualized a return of 15 percent in a five year period. As of today, the fund has over 114 million USD share value in the company. When this is calculated, it amounts to 2.32 percent of all the company’s stock with the firm’s shares amounting to 3 percent of total assets. </w:t>
      </w:r>
    </w:p>
    <w:p w:rsidR="00ED3790" w:rsidRPr="00ED3790" w:rsidRDefault="00ED3790" w:rsidP="00ED3790">
      <w:pPr>
        <w:spacing w:before="100" w:beforeAutospacing="1" w:after="100" w:afterAutospacing="1" w:line="480" w:lineRule="auto"/>
        <w:ind w:firstLine="720"/>
        <w:rPr>
          <w:rFonts w:ascii="Times New Roman" w:hAnsi="Times New Roman" w:cs="Times New Roman"/>
          <w:sz w:val="24"/>
          <w:szCs w:val="24"/>
        </w:rPr>
      </w:pPr>
      <w:r w:rsidRPr="00ED3790">
        <w:rPr>
          <w:rFonts w:ascii="Times New Roman" w:hAnsi="Times New Roman" w:cs="Times New Roman"/>
          <w:sz w:val="24"/>
          <w:szCs w:val="24"/>
        </w:rPr>
        <w:lastRenderedPageBreak/>
        <w:t xml:space="preserve">Vanguard 500 Index Investment Fund (VFINX). This is another source of fund which holds Apple shares worth 90.83 million USD - 1.83 percent of overall shares. It is the second largest fund investor. </w:t>
      </w:r>
    </w:p>
    <w:p w:rsidR="00ED3790" w:rsidRPr="00ED3790" w:rsidRDefault="00ED3790" w:rsidP="00ED3790">
      <w:pPr>
        <w:spacing w:before="100" w:beforeAutospacing="1" w:after="100" w:afterAutospacing="1" w:line="480" w:lineRule="auto"/>
        <w:ind w:firstLine="720"/>
        <w:rPr>
          <w:rFonts w:ascii="Times New Roman" w:hAnsi="Times New Roman" w:cs="Times New Roman"/>
          <w:sz w:val="24"/>
          <w:szCs w:val="24"/>
        </w:rPr>
      </w:pPr>
      <w:r w:rsidRPr="00ED3790">
        <w:rPr>
          <w:rFonts w:ascii="Times New Roman" w:hAnsi="Times New Roman" w:cs="Times New Roman"/>
          <w:sz w:val="24"/>
          <w:szCs w:val="24"/>
        </w:rPr>
        <w:t xml:space="preserve">Selling bonds: the company sells bonds in order to funds programs and activities e.g. Bloomberg. Marketing securities is a being source of funds to most global companies. Apple today attributes nearly 270 billion USD to marketable securities. </w:t>
      </w:r>
    </w:p>
    <w:p w:rsidR="00ED3790" w:rsidRPr="00ED3790" w:rsidRDefault="00ED3790" w:rsidP="00ED3790">
      <w:pPr>
        <w:spacing w:before="100" w:beforeAutospacing="1" w:after="100" w:afterAutospacing="1" w:line="480" w:lineRule="auto"/>
        <w:ind w:firstLine="720"/>
        <w:rPr>
          <w:rFonts w:ascii="Times New Roman" w:hAnsi="Times New Roman" w:cs="Times New Roman"/>
          <w:sz w:val="24"/>
          <w:szCs w:val="24"/>
        </w:rPr>
      </w:pPr>
      <w:r w:rsidRPr="00ED3790">
        <w:rPr>
          <w:rFonts w:ascii="Times New Roman" w:hAnsi="Times New Roman" w:cs="Times New Roman"/>
          <w:sz w:val="24"/>
          <w:szCs w:val="24"/>
        </w:rPr>
        <w:t xml:space="preserve">Profits: the company makes a lot from the profits of selling its outstanding products and services over the globe. Actually, the oversea market for this company is deemed large than the US market. Products are overly demanded. </w:t>
      </w:r>
    </w:p>
    <w:p w:rsidR="00ED3790" w:rsidRPr="00ED3790" w:rsidRDefault="00ED3790" w:rsidP="00ED3790">
      <w:pPr>
        <w:spacing w:before="100" w:beforeAutospacing="1" w:after="100" w:afterAutospacing="1" w:line="480" w:lineRule="auto"/>
        <w:jc w:val="center"/>
        <w:rPr>
          <w:rFonts w:ascii="Times New Roman" w:hAnsi="Times New Roman" w:cs="Times New Roman"/>
          <w:sz w:val="24"/>
          <w:szCs w:val="24"/>
        </w:rPr>
      </w:pPr>
      <w:r w:rsidRPr="00ED3790">
        <w:rPr>
          <w:rFonts w:ascii="Times New Roman" w:hAnsi="Times New Roman" w:cs="Times New Roman"/>
          <w:sz w:val="24"/>
          <w:szCs w:val="24"/>
        </w:rPr>
        <w:t>Dividend policy</w:t>
      </w:r>
    </w:p>
    <w:p w:rsidR="00ED3790" w:rsidRP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tab/>
        <w:t xml:space="preserve">Dividend payout: This is a measure of the company’s financial strength, as stock investment is analyzed. In 2016, the company’s gross dividends amounted 6 billion USD. There were changes over and over but an average summary for the 2013, 2014 and 2015, the gross dividend grew due to increased incomes and thus resting to a dividend payout ratio of 26 percent. The ratio further has grown due to the revenue growth over the past 5 years. Accumulated equity capital was recorded as 119 billion USD as at 2015. </w:t>
      </w:r>
    </w:p>
    <w:p w:rsidR="00ED3790" w:rsidRPr="00ED3790" w:rsidRDefault="00ED3790" w:rsidP="00ED3790">
      <w:pPr>
        <w:spacing w:before="100" w:beforeAutospacing="1" w:after="100" w:afterAutospacing="1" w:line="480" w:lineRule="auto"/>
        <w:ind w:firstLine="720"/>
        <w:rPr>
          <w:rFonts w:ascii="Times New Roman" w:hAnsi="Times New Roman" w:cs="Times New Roman"/>
          <w:sz w:val="24"/>
          <w:szCs w:val="24"/>
        </w:rPr>
      </w:pPr>
      <w:r w:rsidRPr="00ED3790">
        <w:rPr>
          <w:rFonts w:ascii="Times New Roman" w:hAnsi="Times New Roman" w:cs="Times New Roman"/>
          <w:sz w:val="24"/>
          <w:szCs w:val="24"/>
        </w:rPr>
        <w:t xml:space="preserve">Dividend yield: this is very important for investors. Apple Inc.’s dividend yield in 2016 financial year was held at 2.13 USD per share. This has changed over and over in line with the company adjustments and the prevailing economic conditions. </w:t>
      </w:r>
    </w:p>
    <w:p w:rsidR="00ED3790" w:rsidRPr="00ED3790" w:rsidRDefault="00ED3790" w:rsidP="00ED3790">
      <w:pPr>
        <w:spacing w:before="100" w:beforeAutospacing="1" w:after="100" w:afterAutospacing="1" w:line="480" w:lineRule="auto"/>
        <w:ind w:firstLine="720"/>
        <w:rPr>
          <w:rFonts w:ascii="Times New Roman" w:hAnsi="Times New Roman" w:cs="Times New Roman"/>
          <w:sz w:val="24"/>
          <w:szCs w:val="24"/>
        </w:rPr>
      </w:pPr>
      <w:r w:rsidRPr="00ED3790">
        <w:rPr>
          <w:rFonts w:ascii="Times New Roman" w:hAnsi="Times New Roman" w:cs="Times New Roman"/>
          <w:sz w:val="24"/>
          <w:szCs w:val="24"/>
        </w:rPr>
        <w:lastRenderedPageBreak/>
        <w:t xml:space="preserve">Dividend growth: from the dividend accounted period, 2015, the company’s dividend grew slightly by 2.5 percent in the followed six months. Between 2013 and 2015, the dividend growth averaged 4.6 percent. This growth had a rate higher than the ones witnessed in the previous times. </w:t>
      </w:r>
    </w:p>
    <w:p w:rsidR="00ED3790" w:rsidRPr="00ED3790" w:rsidRDefault="00ED3790" w:rsidP="00ED3790">
      <w:pPr>
        <w:spacing w:before="100" w:beforeAutospacing="1" w:after="100" w:afterAutospacing="1" w:line="480" w:lineRule="auto"/>
        <w:jc w:val="center"/>
        <w:rPr>
          <w:rFonts w:ascii="Times New Roman" w:hAnsi="Times New Roman" w:cs="Times New Roman"/>
          <w:sz w:val="24"/>
          <w:szCs w:val="24"/>
        </w:rPr>
      </w:pPr>
      <w:r w:rsidRPr="00ED3790">
        <w:rPr>
          <w:rFonts w:ascii="Times New Roman" w:hAnsi="Times New Roman" w:cs="Times New Roman"/>
          <w:sz w:val="24"/>
          <w:szCs w:val="24"/>
        </w:rPr>
        <w:t>Risks</w:t>
      </w:r>
    </w:p>
    <w:p w:rsidR="00ED3790" w:rsidRDefault="00ED3790" w:rsidP="00ED3790">
      <w:pPr>
        <w:spacing w:before="100" w:beforeAutospacing="1" w:after="100" w:afterAutospacing="1" w:line="480" w:lineRule="auto"/>
        <w:rPr>
          <w:rFonts w:ascii="Times New Roman" w:hAnsi="Times New Roman" w:cs="Times New Roman"/>
          <w:sz w:val="24"/>
          <w:szCs w:val="24"/>
        </w:rPr>
      </w:pPr>
      <w:r w:rsidRPr="00ED3790">
        <w:rPr>
          <w:rFonts w:ascii="Times New Roman" w:hAnsi="Times New Roman" w:cs="Times New Roman"/>
          <w:sz w:val="24"/>
          <w:szCs w:val="24"/>
        </w:rPr>
        <w:tab/>
        <w:t xml:space="preserve">Like any other business, Apple Inc. faces a number of risks as discussed below: the global market is very competitive and especially for this industry which is technology based bearing in mind that technological advancements come each other time. Managing the growing customer demands and needs is another risk. This puts the company in a situation of day to day R&amp;D to stay informed on arising needs and then keep the flexibility. Another big risk is substantial inventory and asset risk. Some important risk is the fact that Apple Inc.’s future is dependent on the support of third party software holders (Jordan, 2017). </w:t>
      </w:r>
    </w:p>
    <w:p w:rsidR="000D712D" w:rsidRDefault="000D712D" w:rsidP="000D712D">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Recommendation</w:t>
      </w:r>
    </w:p>
    <w:p w:rsidR="000D712D" w:rsidRPr="00ED3790" w:rsidRDefault="000D712D" w:rsidP="000D712D">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Any future research can expound this study by choosing to adopt some more explanatory variables. This would help breakdown the complexities and make the study easier by including a number of definitions like the short and long-term debt ratios</w:t>
      </w:r>
      <w:r w:rsidR="00771954">
        <w:rPr>
          <w:rFonts w:ascii="Times New Roman" w:hAnsi="Times New Roman" w:cs="Times New Roman"/>
          <w:sz w:val="24"/>
          <w:szCs w:val="24"/>
        </w:rPr>
        <w:t xml:space="preserve"> (Vo, 2017)</w:t>
      </w:r>
      <w:r>
        <w:rPr>
          <w:rFonts w:ascii="Times New Roman" w:hAnsi="Times New Roman" w:cs="Times New Roman"/>
          <w:sz w:val="24"/>
          <w:szCs w:val="24"/>
        </w:rPr>
        <w:t xml:space="preserve">. Decomposing capital structure would yield to clearer viewpoints in the relationship that exists with the determinants within the capital structure. All in all, financial data is supposed to cover more period like 10 years, for instance, to pave way for consistent and substantive </w:t>
      </w:r>
      <w:r w:rsidR="00771954">
        <w:rPr>
          <w:rFonts w:ascii="Times New Roman" w:hAnsi="Times New Roman" w:cs="Times New Roman"/>
          <w:sz w:val="24"/>
          <w:szCs w:val="24"/>
        </w:rPr>
        <w:t xml:space="preserve">analysis in the bid to complete a business financial year. </w:t>
      </w:r>
    </w:p>
    <w:p w:rsidR="000D712D" w:rsidRDefault="000D712D" w:rsidP="00771954">
      <w:pPr>
        <w:spacing w:before="100" w:beforeAutospacing="1" w:after="100" w:afterAutospacing="1" w:line="480" w:lineRule="auto"/>
        <w:rPr>
          <w:rFonts w:ascii="Times New Roman" w:hAnsi="Times New Roman" w:cs="Times New Roman"/>
          <w:sz w:val="24"/>
          <w:szCs w:val="24"/>
        </w:rPr>
      </w:pPr>
    </w:p>
    <w:p w:rsidR="00ED3790" w:rsidRPr="00ED3790" w:rsidRDefault="00ED3790" w:rsidP="00ED3790">
      <w:pPr>
        <w:spacing w:before="100" w:beforeAutospacing="1" w:after="100" w:afterAutospacing="1" w:line="480" w:lineRule="auto"/>
        <w:jc w:val="center"/>
        <w:rPr>
          <w:rFonts w:ascii="Times New Roman" w:hAnsi="Times New Roman" w:cs="Times New Roman"/>
          <w:sz w:val="24"/>
          <w:szCs w:val="24"/>
        </w:rPr>
      </w:pPr>
      <w:r w:rsidRPr="00ED3790">
        <w:rPr>
          <w:rFonts w:ascii="Times New Roman" w:hAnsi="Times New Roman" w:cs="Times New Roman"/>
          <w:sz w:val="24"/>
          <w:szCs w:val="24"/>
        </w:rPr>
        <w:lastRenderedPageBreak/>
        <w:t>References</w:t>
      </w:r>
    </w:p>
    <w:p w:rsidR="00771954" w:rsidRDefault="00771954" w:rsidP="00ED3790">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771954">
        <w:rPr>
          <w:rFonts w:ascii="Times New Roman" w:hAnsi="Times New Roman" w:cs="Times New Roman"/>
          <w:sz w:val="24"/>
          <w:szCs w:val="24"/>
          <w:shd w:val="clear" w:color="auto" w:fill="FFFFFF"/>
        </w:rPr>
        <w:t>Acaravci, S. K. (2015). The determinants of capital structure: Evidence from the Turkish manufacturing sector. International Journal of Economics and Financial Issues, 5(1), 158-171.</w:t>
      </w:r>
    </w:p>
    <w:p w:rsidR="00ED3790" w:rsidRDefault="00ED3790" w:rsidP="00ED3790">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ED3790">
        <w:rPr>
          <w:rFonts w:ascii="Times New Roman" w:hAnsi="Times New Roman" w:cs="Times New Roman"/>
          <w:sz w:val="24"/>
          <w:szCs w:val="24"/>
          <w:shd w:val="clear" w:color="auto" w:fill="FFFFFF"/>
        </w:rPr>
        <w:t>Annual Report (2017) Apple Inc.</w:t>
      </w:r>
    </w:p>
    <w:p w:rsidR="00771954" w:rsidRPr="00771954" w:rsidRDefault="00771954" w:rsidP="00771954">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771954">
        <w:rPr>
          <w:rFonts w:ascii="Times New Roman" w:hAnsi="Times New Roman" w:cs="Times New Roman"/>
          <w:sz w:val="24"/>
          <w:szCs w:val="24"/>
          <w:shd w:val="clear" w:color="auto" w:fill="FFFFFF"/>
        </w:rPr>
        <w:t>Chadha, S., &amp; Sharma, A. K. (2015). Determinants of capital structure: An empirical evaluation from India. Journal of Advances in Management Research, 12(1), 3-14.</w:t>
      </w:r>
    </w:p>
    <w:p w:rsidR="00ED3790" w:rsidRPr="00ED3790" w:rsidRDefault="00ED3790" w:rsidP="00ED3790">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ED3790">
        <w:rPr>
          <w:rFonts w:ascii="Times New Roman" w:hAnsi="Times New Roman" w:cs="Times New Roman"/>
          <w:sz w:val="24"/>
          <w:szCs w:val="24"/>
          <w:shd w:val="clear" w:color="auto" w:fill="FFFFFF"/>
        </w:rPr>
        <w:t>Evan Niu, (2017). “</w:t>
      </w:r>
      <w:r w:rsidRPr="00ED3790">
        <w:rPr>
          <w:rFonts w:ascii="Times New Roman" w:hAnsi="Times New Roman" w:cs="Times New Roman"/>
          <w:spacing w:val="-15"/>
          <w:sz w:val="24"/>
          <w:szCs w:val="24"/>
        </w:rPr>
        <w:t>Apple Expects Fiscal 2018 Capital Expenditures of $16 Billion,” &gt;</w:t>
      </w:r>
      <w:r w:rsidRPr="00ED3790">
        <w:rPr>
          <w:rFonts w:ascii="Times New Roman" w:hAnsi="Times New Roman" w:cs="Times New Roman"/>
          <w:sz w:val="24"/>
          <w:szCs w:val="24"/>
        </w:rPr>
        <w:t xml:space="preserve"> </w:t>
      </w:r>
      <w:r w:rsidRPr="00ED3790">
        <w:rPr>
          <w:rFonts w:ascii="Times New Roman" w:hAnsi="Times New Roman" w:cs="Times New Roman"/>
          <w:spacing w:val="-15"/>
          <w:sz w:val="24"/>
          <w:szCs w:val="24"/>
        </w:rPr>
        <w:t>https://www.fool.com/investing/2017/11/06/apple-expects-fiscal-2018-capital-expenditures-of.aspx</w:t>
      </w:r>
    </w:p>
    <w:p w:rsidR="00ED3790" w:rsidRPr="00ED3790" w:rsidRDefault="00ED3790" w:rsidP="00ED3790">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ED3790">
        <w:rPr>
          <w:rFonts w:ascii="Times New Roman" w:hAnsi="Times New Roman" w:cs="Times New Roman"/>
          <w:sz w:val="24"/>
          <w:szCs w:val="24"/>
          <w:shd w:val="clear" w:color="auto" w:fill="FFFFFF"/>
        </w:rPr>
        <w:t xml:space="preserve">Guru Focus (2018). “Apple Inc. (NAS: AAPL) Intrinsic Value: Projected FCF: As of Today.” Retrieved from </w:t>
      </w:r>
      <w:hyperlink r:id="rId9" w:history="1">
        <w:r w:rsidRPr="00ED3790">
          <w:rPr>
            <w:rStyle w:val="Hyperlink"/>
            <w:rFonts w:ascii="Times New Roman" w:hAnsi="Times New Roman" w:cs="Times New Roman"/>
            <w:color w:val="auto"/>
            <w:sz w:val="24"/>
            <w:szCs w:val="24"/>
            <w:u w:val="none"/>
            <w:shd w:val="clear" w:color="auto" w:fill="FFFFFF"/>
          </w:rPr>
          <w:t>https://www.gurufocus.com/term/iv_dcf_share/AAPL/Intrinsic-Value:-Projected-FCF/Apple%20Inc</w:t>
        </w:r>
      </w:hyperlink>
    </w:p>
    <w:p w:rsidR="00ED3790" w:rsidRPr="00ED3790" w:rsidRDefault="00ED3790" w:rsidP="00ED3790">
      <w:pPr>
        <w:spacing w:before="100" w:beforeAutospacing="1" w:after="100" w:afterAutospacing="1" w:line="480" w:lineRule="auto"/>
        <w:ind w:left="720" w:hanging="720"/>
        <w:rPr>
          <w:rFonts w:ascii="Times New Roman" w:hAnsi="Times New Roman" w:cs="Times New Roman"/>
          <w:sz w:val="24"/>
          <w:szCs w:val="24"/>
        </w:rPr>
      </w:pPr>
      <w:r w:rsidRPr="00ED3790">
        <w:rPr>
          <w:rFonts w:ascii="Times New Roman" w:hAnsi="Times New Roman" w:cs="Times New Roman"/>
          <w:sz w:val="24"/>
          <w:szCs w:val="24"/>
          <w:shd w:val="clear" w:color="auto" w:fill="FFFFFF"/>
        </w:rPr>
        <w:t>Jordan Golson (2017). “Revealing Apple Inc.’s top market risks.” https://www.techrepublic.com/article/revealing-apples-top-market-risks/</w:t>
      </w:r>
    </w:p>
    <w:p w:rsidR="00ED3790" w:rsidRDefault="00ED3790" w:rsidP="000D712D">
      <w:pPr>
        <w:spacing w:before="100" w:beforeAutospacing="1" w:after="100" w:afterAutospacing="1" w:line="480" w:lineRule="auto"/>
        <w:ind w:left="720" w:hanging="720"/>
        <w:rPr>
          <w:rStyle w:val="Hyperlink"/>
          <w:rFonts w:ascii="Times New Roman" w:hAnsi="Times New Roman" w:cs="Times New Roman"/>
          <w:color w:val="auto"/>
          <w:sz w:val="24"/>
          <w:szCs w:val="24"/>
          <w:u w:val="none"/>
          <w:shd w:val="clear" w:color="auto" w:fill="FFFFFF"/>
        </w:rPr>
      </w:pPr>
      <w:r w:rsidRPr="00ED3790">
        <w:rPr>
          <w:rFonts w:ascii="Times New Roman" w:hAnsi="Times New Roman" w:cs="Times New Roman"/>
          <w:sz w:val="24"/>
          <w:szCs w:val="24"/>
          <w:shd w:val="clear" w:color="auto" w:fill="FFFFFF"/>
        </w:rPr>
        <w:t>Leswing, K. (2017) “Apple added a revealing word to its official business strategy” </w:t>
      </w:r>
      <w:r w:rsidRPr="00ED3790">
        <w:rPr>
          <w:rStyle w:val="Emphasis"/>
          <w:rFonts w:ascii="Times New Roman" w:hAnsi="Times New Roman" w:cs="Times New Roman"/>
          <w:sz w:val="24"/>
          <w:szCs w:val="24"/>
          <w:bdr w:val="none" w:sz="0" w:space="0" w:color="auto" w:frame="1"/>
          <w:shd w:val="clear" w:color="auto" w:fill="FFFFFF"/>
        </w:rPr>
        <w:t>Business Insider, </w:t>
      </w:r>
      <w:r w:rsidRPr="00ED3790">
        <w:rPr>
          <w:rFonts w:ascii="Times New Roman" w:hAnsi="Times New Roman" w:cs="Times New Roman"/>
          <w:sz w:val="24"/>
          <w:szCs w:val="24"/>
          <w:shd w:val="clear" w:color="auto" w:fill="FFFFFF"/>
        </w:rPr>
        <w:t xml:space="preserve">Available at: </w:t>
      </w:r>
      <w:hyperlink r:id="rId10" w:history="1">
        <w:r w:rsidRPr="00ED3790">
          <w:rPr>
            <w:rStyle w:val="Hyperlink"/>
            <w:rFonts w:ascii="Times New Roman" w:hAnsi="Times New Roman" w:cs="Times New Roman"/>
            <w:color w:val="auto"/>
            <w:sz w:val="24"/>
            <w:szCs w:val="24"/>
            <w:u w:val="none"/>
            <w:shd w:val="clear" w:color="auto" w:fill="FFFFFF"/>
          </w:rPr>
          <w:t>http://www.businessinsider.com/apple-services-business-strategy-2017-8</w:t>
        </w:r>
      </w:hyperlink>
    </w:p>
    <w:p w:rsidR="00771954" w:rsidRPr="000D712D" w:rsidRDefault="00771954" w:rsidP="000D712D">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771954">
        <w:rPr>
          <w:rFonts w:ascii="Times New Roman" w:hAnsi="Times New Roman" w:cs="Times New Roman"/>
          <w:sz w:val="24"/>
          <w:szCs w:val="24"/>
          <w:shd w:val="clear" w:color="auto" w:fill="FFFFFF"/>
        </w:rPr>
        <w:t>Vo, X. V. (2017). Determinants of capital structure in emerging markets: Evidence from Vietnam. Research in International Business and Finance, 40, 105-113.</w:t>
      </w:r>
    </w:p>
    <w:sectPr w:rsidR="00771954" w:rsidRPr="000D712D" w:rsidSect="00ED379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14F9" w:rsidRDefault="001A14F9" w:rsidP="00ED3790">
      <w:pPr>
        <w:spacing w:after="0" w:line="240" w:lineRule="auto"/>
      </w:pPr>
      <w:r>
        <w:separator/>
      </w:r>
    </w:p>
  </w:endnote>
  <w:endnote w:type="continuationSeparator" w:id="0">
    <w:p w:rsidR="001A14F9" w:rsidRDefault="001A14F9" w:rsidP="00ED3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14F9" w:rsidRDefault="001A14F9" w:rsidP="00ED3790">
      <w:pPr>
        <w:spacing w:after="0" w:line="240" w:lineRule="auto"/>
      </w:pPr>
      <w:r>
        <w:separator/>
      </w:r>
    </w:p>
  </w:footnote>
  <w:footnote w:type="continuationSeparator" w:id="0">
    <w:p w:rsidR="001A14F9" w:rsidRDefault="001A14F9" w:rsidP="00ED37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790" w:rsidRDefault="008C2AF3">
    <w:pPr>
      <w:pStyle w:val="Header"/>
    </w:pPr>
    <w:r>
      <w:rPr>
        <w:rFonts w:ascii="Times New Roman" w:hAnsi="Times New Roman" w:cs="Times New Roman"/>
        <w:sz w:val="24"/>
        <w:szCs w:val="24"/>
      </w:rPr>
      <w:t>CAPITAL STRUCTURE</w:t>
    </w:r>
    <w:r w:rsidR="00ED3790" w:rsidRPr="00ED3790">
      <w:rPr>
        <w:rFonts w:ascii="Times New Roman" w:hAnsi="Times New Roman" w:cs="Times New Roman"/>
        <w:sz w:val="24"/>
        <w:szCs w:val="24"/>
      </w:rPr>
      <w:tab/>
    </w:r>
    <w:r w:rsidR="00ED3790" w:rsidRPr="00ED3790">
      <w:rPr>
        <w:rFonts w:ascii="Times New Roman" w:hAnsi="Times New Roman" w:cs="Times New Roman"/>
        <w:sz w:val="24"/>
        <w:szCs w:val="24"/>
      </w:rPr>
      <w:tab/>
    </w:r>
    <w:sdt>
      <w:sdtPr>
        <w:rPr>
          <w:rFonts w:ascii="Times New Roman" w:hAnsi="Times New Roman" w:cs="Times New Roman"/>
          <w:sz w:val="24"/>
          <w:szCs w:val="24"/>
        </w:rPr>
        <w:id w:val="-1351870235"/>
        <w:docPartObj>
          <w:docPartGallery w:val="Page Numbers (Top of Page)"/>
          <w:docPartUnique/>
        </w:docPartObj>
      </w:sdtPr>
      <w:sdtEndPr>
        <w:rPr>
          <w:rFonts w:asciiTheme="minorHAnsi" w:hAnsiTheme="minorHAnsi" w:cstheme="minorBidi"/>
          <w:noProof/>
          <w:sz w:val="22"/>
          <w:szCs w:val="22"/>
        </w:rPr>
      </w:sdtEndPr>
      <w:sdtContent>
        <w:r w:rsidR="00ED3790" w:rsidRPr="00ED3790">
          <w:rPr>
            <w:rFonts w:ascii="Times New Roman" w:hAnsi="Times New Roman" w:cs="Times New Roman"/>
            <w:sz w:val="24"/>
            <w:szCs w:val="24"/>
          </w:rPr>
          <w:fldChar w:fldCharType="begin"/>
        </w:r>
        <w:r w:rsidR="00ED3790" w:rsidRPr="00ED3790">
          <w:rPr>
            <w:rFonts w:ascii="Times New Roman" w:hAnsi="Times New Roman" w:cs="Times New Roman"/>
            <w:sz w:val="24"/>
            <w:szCs w:val="24"/>
          </w:rPr>
          <w:instrText xml:space="preserve"> PAGE   \* MERGEFORMAT </w:instrText>
        </w:r>
        <w:r w:rsidR="00ED3790" w:rsidRPr="00ED3790">
          <w:rPr>
            <w:rFonts w:ascii="Times New Roman" w:hAnsi="Times New Roman" w:cs="Times New Roman"/>
            <w:sz w:val="24"/>
            <w:szCs w:val="24"/>
          </w:rPr>
          <w:fldChar w:fldCharType="separate"/>
        </w:r>
        <w:r w:rsidR="00771954">
          <w:rPr>
            <w:rFonts w:ascii="Times New Roman" w:hAnsi="Times New Roman" w:cs="Times New Roman"/>
            <w:noProof/>
            <w:sz w:val="24"/>
            <w:szCs w:val="24"/>
          </w:rPr>
          <w:t>18</w:t>
        </w:r>
        <w:r w:rsidR="00ED3790" w:rsidRPr="00ED379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790" w:rsidRDefault="00ED3790">
    <w:pPr>
      <w:pStyle w:val="Header"/>
    </w:pPr>
    <w:r w:rsidRPr="00ED3790">
      <w:rPr>
        <w:rFonts w:ascii="Times New Roman" w:hAnsi="Times New Roman" w:cs="Times New Roman"/>
        <w:sz w:val="24"/>
        <w:szCs w:val="24"/>
      </w:rPr>
      <w:t xml:space="preserve">Running Head: </w:t>
    </w:r>
    <w:r w:rsidR="008C2AF3">
      <w:rPr>
        <w:rFonts w:ascii="Times New Roman" w:hAnsi="Times New Roman" w:cs="Times New Roman"/>
        <w:sz w:val="24"/>
        <w:szCs w:val="24"/>
      </w:rPr>
      <w:t xml:space="preserve">CAPITAL STRUCTURE </w:t>
    </w:r>
    <w:r w:rsidRPr="00ED3790">
      <w:rPr>
        <w:rFonts w:ascii="Times New Roman" w:hAnsi="Times New Roman" w:cs="Times New Roman"/>
        <w:sz w:val="24"/>
        <w:szCs w:val="24"/>
      </w:rPr>
      <w:tab/>
    </w:r>
    <w:r w:rsidRPr="00ED3790">
      <w:rPr>
        <w:rFonts w:ascii="Times New Roman" w:hAnsi="Times New Roman" w:cs="Times New Roman"/>
        <w:sz w:val="24"/>
        <w:szCs w:val="24"/>
      </w:rPr>
      <w:tab/>
    </w:r>
    <w:sdt>
      <w:sdtPr>
        <w:rPr>
          <w:rFonts w:ascii="Times New Roman" w:hAnsi="Times New Roman" w:cs="Times New Roman"/>
          <w:sz w:val="24"/>
          <w:szCs w:val="24"/>
        </w:rPr>
        <w:id w:val="395626209"/>
        <w:docPartObj>
          <w:docPartGallery w:val="Page Numbers (Top of Page)"/>
          <w:docPartUnique/>
        </w:docPartObj>
      </w:sdtPr>
      <w:sdtEndPr>
        <w:rPr>
          <w:rFonts w:asciiTheme="minorHAnsi" w:hAnsiTheme="minorHAnsi" w:cstheme="minorBidi"/>
          <w:noProof/>
          <w:sz w:val="22"/>
          <w:szCs w:val="22"/>
        </w:rPr>
      </w:sdtEndPr>
      <w:sdtContent>
        <w:r w:rsidRPr="00ED3790">
          <w:rPr>
            <w:rFonts w:ascii="Times New Roman" w:hAnsi="Times New Roman" w:cs="Times New Roman"/>
            <w:sz w:val="24"/>
            <w:szCs w:val="24"/>
          </w:rPr>
          <w:fldChar w:fldCharType="begin"/>
        </w:r>
        <w:r w:rsidRPr="00ED3790">
          <w:rPr>
            <w:rFonts w:ascii="Times New Roman" w:hAnsi="Times New Roman" w:cs="Times New Roman"/>
            <w:sz w:val="24"/>
            <w:szCs w:val="24"/>
          </w:rPr>
          <w:instrText xml:space="preserve"> PAGE   \* MERGEFORMAT </w:instrText>
        </w:r>
        <w:r w:rsidRPr="00ED3790">
          <w:rPr>
            <w:rFonts w:ascii="Times New Roman" w:hAnsi="Times New Roman" w:cs="Times New Roman"/>
            <w:sz w:val="24"/>
            <w:szCs w:val="24"/>
          </w:rPr>
          <w:fldChar w:fldCharType="separate"/>
        </w:r>
        <w:r w:rsidR="00771954">
          <w:rPr>
            <w:rFonts w:ascii="Times New Roman" w:hAnsi="Times New Roman" w:cs="Times New Roman"/>
            <w:noProof/>
            <w:sz w:val="24"/>
            <w:szCs w:val="24"/>
          </w:rPr>
          <w:t>1</w:t>
        </w:r>
        <w:r w:rsidRPr="00ED3790">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25CC7"/>
    <w:multiLevelType w:val="hybridMultilevel"/>
    <w:tmpl w:val="BD3AD7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DB0"/>
    <w:rsid w:val="000970B6"/>
    <w:rsid w:val="000D712D"/>
    <w:rsid w:val="00123F79"/>
    <w:rsid w:val="00130284"/>
    <w:rsid w:val="001455F7"/>
    <w:rsid w:val="001A14F9"/>
    <w:rsid w:val="002F10C1"/>
    <w:rsid w:val="003039F5"/>
    <w:rsid w:val="003C0CF2"/>
    <w:rsid w:val="00420471"/>
    <w:rsid w:val="00433523"/>
    <w:rsid w:val="00443592"/>
    <w:rsid w:val="004604DF"/>
    <w:rsid w:val="00480117"/>
    <w:rsid w:val="0054339E"/>
    <w:rsid w:val="005C381D"/>
    <w:rsid w:val="005D3F2C"/>
    <w:rsid w:val="00642CD2"/>
    <w:rsid w:val="00723556"/>
    <w:rsid w:val="00771954"/>
    <w:rsid w:val="007D0000"/>
    <w:rsid w:val="00880E4B"/>
    <w:rsid w:val="008C2AF3"/>
    <w:rsid w:val="00915B6F"/>
    <w:rsid w:val="00951C3C"/>
    <w:rsid w:val="009571FA"/>
    <w:rsid w:val="009B53B1"/>
    <w:rsid w:val="009C6008"/>
    <w:rsid w:val="00A63ACB"/>
    <w:rsid w:val="00AE3ECA"/>
    <w:rsid w:val="00D445F7"/>
    <w:rsid w:val="00E06C52"/>
    <w:rsid w:val="00E65B20"/>
    <w:rsid w:val="00E92613"/>
    <w:rsid w:val="00E952B7"/>
    <w:rsid w:val="00EB7DB0"/>
    <w:rsid w:val="00ED3790"/>
    <w:rsid w:val="00F17A6F"/>
    <w:rsid w:val="00F21610"/>
    <w:rsid w:val="00F82409"/>
    <w:rsid w:val="00FC5BEF"/>
    <w:rsid w:val="00FE43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4DC29E-0A42-408D-B867-6BF418E34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D37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D3790"/>
    <w:rPr>
      <w:i/>
      <w:iCs/>
    </w:rPr>
  </w:style>
  <w:style w:type="character" w:styleId="Hyperlink">
    <w:name w:val="Hyperlink"/>
    <w:basedOn w:val="DefaultParagraphFont"/>
    <w:uiPriority w:val="99"/>
    <w:unhideWhenUsed/>
    <w:rsid w:val="00ED3790"/>
    <w:rPr>
      <w:color w:val="0563C1" w:themeColor="hyperlink"/>
      <w:u w:val="single"/>
    </w:rPr>
  </w:style>
  <w:style w:type="character" w:customStyle="1" w:styleId="Heading1Char">
    <w:name w:val="Heading 1 Char"/>
    <w:basedOn w:val="DefaultParagraphFont"/>
    <w:link w:val="Heading1"/>
    <w:uiPriority w:val="9"/>
    <w:rsid w:val="00ED3790"/>
    <w:rPr>
      <w:rFonts w:ascii="Times New Roman" w:eastAsia="Times New Roman" w:hAnsi="Times New Roman" w:cs="Times New Roman"/>
      <w:b/>
      <w:bCs/>
      <w:kern w:val="36"/>
      <w:sz w:val="48"/>
      <w:szCs w:val="48"/>
    </w:rPr>
  </w:style>
  <w:style w:type="table" w:styleId="TableGrid">
    <w:name w:val="Table Grid"/>
    <w:basedOn w:val="TableNormal"/>
    <w:uiPriority w:val="39"/>
    <w:rsid w:val="00ED37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3790"/>
    <w:pPr>
      <w:spacing w:after="0" w:line="480" w:lineRule="auto"/>
      <w:ind w:left="720"/>
      <w:contextualSpacing/>
    </w:pPr>
    <w:rPr>
      <w:rFonts w:ascii="Times New Roman" w:eastAsia="Times New Roman" w:hAnsi="Times New Roman" w:cs="Times New Roman"/>
      <w:bCs/>
      <w:sz w:val="24"/>
      <w:szCs w:val="20"/>
    </w:rPr>
  </w:style>
  <w:style w:type="paragraph" w:styleId="Header">
    <w:name w:val="header"/>
    <w:basedOn w:val="Normal"/>
    <w:link w:val="HeaderChar"/>
    <w:uiPriority w:val="99"/>
    <w:unhideWhenUsed/>
    <w:rsid w:val="00ED3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790"/>
  </w:style>
  <w:style w:type="paragraph" w:styleId="Footer">
    <w:name w:val="footer"/>
    <w:basedOn w:val="Normal"/>
    <w:link w:val="FooterChar"/>
    <w:uiPriority w:val="99"/>
    <w:unhideWhenUsed/>
    <w:rsid w:val="00ED37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094971">
      <w:bodyDiv w:val="1"/>
      <w:marLeft w:val="0"/>
      <w:marRight w:val="0"/>
      <w:marTop w:val="0"/>
      <w:marBottom w:val="0"/>
      <w:divBdr>
        <w:top w:val="none" w:sz="0" w:space="0" w:color="auto"/>
        <w:left w:val="none" w:sz="0" w:space="0" w:color="auto"/>
        <w:bottom w:val="none" w:sz="0" w:space="0" w:color="auto"/>
        <w:right w:val="none" w:sz="0" w:space="0" w:color="auto"/>
      </w:divBdr>
    </w:div>
    <w:div w:id="865102169">
      <w:bodyDiv w:val="1"/>
      <w:marLeft w:val="0"/>
      <w:marRight w:val="0"/>
      <w:marTop w:val="0"/>
      <w:marBottom w:val="0"/>
      <w:divBdr>
        <w:top w:val="none" w:sz="0" w:space="0" w:color="auto"/>
        <w:left w:val="none" w:sz="0" w:space="0" w:color="auto"/>
        <w:bottom w:val="none" w:sz="0" w:space="0" w:color="auto"/>
        <w:right w:val="none" w:sz="0" w:space="0" w:color="auto"/>
      </w:divBdr>
    </w:div>
    <w:div w:id="1190796098">
      <w:bodyDiv w:val="1"/>
      <w:marLeft w:val="0"/>
      <w:marRight w:val="0"/>
      <w:marTop w:val="0"/>
      <w:marBottom w:val="0"/>
      <w:divBdr>
        <w:top w:val="none" w:sz="0" w:space="0" w:color="auto"/>
        <w:left w:val="none" w:sz="0" w:space="0" w:color="auto"/>
        <w:bottom w:val="none" w:sz="0" w:space="0" w:color="auto"/>
        <w:right w:val="none" w:sz="0" w:space="0" w:color="auto"/>
      </w:divBdr>
      <w:divsChild>
        <w:div w:id="1138380675">
          <w:marLeft w:val="0"/>
          <w:marRight w:val="0"/>
          <w:marTop w:val="0"/>
          <w:marBottom w:val="0"/>
          <w:divBdr>
            <w:top w:val="none" w:sz="0" w:space="0" w:color="auto"/>
            <w:left w:val="none" w:sz="0" w:space="0" w:color="auto"/>
            <w:bottom w:val="none" w:sz="0" w:space="0" w:color="auto"/>
            <w:right w:val="none" w:sz="0" w:space="0" w:color="auto"/>
          </w:divBdr>
        </w:div>
      </w:divsChild>
    </w:div>
    <w:div w:id="1488401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businessinsider.com/apple-services-business-strategy-2017-8" TargetMode="External"/><Relationship Id="rId4" Type="http://schemas.openxmlformats.org/officeDocument/2006/relationships/webSettings" Target="webSettings.xml"/><Relationship Id="rId9" Type="http://schemas.openxmlformats.org/officeDocument/2006/relationships/hyperlink" Target="https://www.gurufocus.com/term/iv_dcf_share/AAPL/Intrinsic-Value:-Projected-FCF/Apple%20In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2017</TotalTime>
  <Pages>18</Pages>
  <Words>3280</Words>
  <Characters>18699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admin</cp:lastModifiedBy>
  <cp:revision>2</cp:revision>
  <dcterms:created xsi:type="dcterms:W3CDTF">2018-06-30T07:20:00Z</dcterms:created>
  <dcterms:modified xsi:type="dcterms:W3CDTF">2019-10-15T14:27:00Z</dcterms:modified>
</cp:coreProperties>
</file>