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33B" w:rsidRDefault="00FE733B" w:rsidP="00FE733B">
      <w:pPr>
        <w:spacing w:line="480" w:lineRule="auto"/>
        <w:jc w:val="center"/>
        <w:rPr>
          <w:b/>
        </w:rPr>
      </w:pPr>
    </w:p>
    <w:p w:rsidR="00FE733B" w:rsidRDefault="00FE733B" w:rsidP="00FE733B">
      <w:pPr>
        <w:spacing w:line="480" w:lineRule="auto"/>
        <w:jc w:val="center"/>
        <w:rPr>
          <w:b/>
        </w:rPr>
      </w:pPr>
    </w:p>
    <w:p w:rsidR="00FE733B" w:rsidRDefault="00FE733B" w:rsidP="00FE733B">
      <w:pPr>
        <w:spacing w:line="480" w:lineRule="auto"/>
        <w:jc w:val="center"/>
        <w:rPr>
          <w:b/>
        </w:rPr>
      </w:pPr>
    </w:p>
    <w:p w:rsidR="00FE733B" w:rsidRDefault="00FE733B" w:rsidP="00FE733B">
      <w:pPr>
        <w:spacing w:line="480" w:lineRule="auto"/>
        <w:jc w:val="center"/>
        <w:rPr>
          <w:b/>
        </w:rPr>
      </w:pPr>
    </w:p>
    <w:p w:rsidR="00FE733B" w:rsidRDefault="00FE733B" w:rsidP="00FE733B">
      <w:pPr>
        <w:spacing w:line="480" w:lineRule="auto"/>
        <w:jc w:val="center"/>
        <w:rPr>
          <w:b/>
        </w:rPr>
      </w:pPr>
    </w:p>
    <w:p w:rsidR="00FE733B" w:rsidRDefault="00FE733B" w:rsidP="00FE733B">
      <w:pPr>
        <w:spacing w:line="480" w:lineRule="auto"/>
        <w:jc w:val="center"/>
        <w:rPr>
          <w:b/>
        </w:rPr>
      </w:pPr>
    </w:p>
    <w:p w:rsidR="00FE733B" w:rsidRDefault="00FE733B" w:rsidP="00FE733B">
      <w:pPr>
        <w:spacing w:line="480" w:lineRule="auto"/>
        <w:jc w:val="center"/>
        <w:rPr>
          <w:b/>
        </w:rPr>
      </w:pPr>
    </w:p>
    <w:p w:rsidR="00FE733B" w:rsidRDefault="00FE733B" w:rsidP="00FE733B">
      <w:pPr>
        <w:spacing w:line="480" w:lineRule="auto"/>
        <w:jc w:val="center"/>
        <w:rPr>
          <w:b/>
        </w:rPr>
      </w:pPr>
      <w:r>
        <w:rPr>
          <w:b/>
        </w:rPr>
        <w:t>Questions</w:t>
      </w:r>
    </w:p>
    <w:p w:rsidR="00FE733B" w:rsidRDefault="00FE733B" w:rsidP="00FE733B">
      <w:pPr>
        <w:spacing w:line="480" w:lineRule="auto"/>
        <w:jc w:val="center"/>
      </w:pPr>
      <w:r>
        <w:t>Name</w:t>
      </w:r>
    </w:p>
    <w:p w:rsidR="00FE733B" w:rsidRDefault="00FE733B" w:rsidP="00FE733B">
      <w:pPr>
        <w:spacing w:line="480" w:lineRule="auto"/>
        <w:jc w:val="center"/>
      </w:pPr>
      <w:r>
        <w:t>Institution</w:t>
      </w:r>
    </w:p>
    <w:p w:rsidR="00FE733B" w:rsidRDefault="00FE733B" w:rsidP="00FE733B">
      <w:pPr>
        <w:spacing w:line="480" w:lineRule="auto"/>
        <w:jc w:val="center"/>
      </w:pPr>
      <w:r>
        <w:t>Date</w:t>
      </w:r>
    </w:p>
    <w:p w:rsidR="00FE733B" w:rsidRDefault="00FE733B" w:rsidP="00FE733B">
      <w:pPr>
        <w:spacing w:line="480" w:lineRule="auto"/>
        <w:jc w:val="center"/>
      </w:pPr>
    </w:p>
    <w:p w:rsidR="00FE733B" w:rsidRDefault="00FE733B" w:rsidP="00FE733B">
      <w:pPr>
        <w:spacing w:line="480" w:lineRule="auto"/>
        <w:jc w:val="center"/>
      </w:pPr>
    </w:p>
    <w:p w:rsidR="00FE733B" w:rsidRDefault="00FE733B" w:rsidP="00FE733B">
      <w:pPr>
        <w:spacing w:line="480" w:lineRule="auto"/>
        <w:jc w:val="center"/>
      </w:pPr>
    </w:p>
    <w:p w:rsidR="00FE733B" w:rsidRDefault="00FE733B" w:rsidP="00FE733B">
      <w:pPr>
        <w:spacing w:line="480" w:lineRule="auto"/>
        <w:jc w:val="center"/>
      </w:pPr>
    </w:p>
    <w:p w:rsidR="00FE733B" w:rsidRDefault="00FE733B" w:rsidP="00FE733B">
      <w:pPr>
        <w:spacing w:line="480" w:lineRule="auto"/>
        <w:jc w:val="center"/>
      </w:pPr>
    </w:p>
    <w:p w:rsidR="00FE733B" w:rsidRPr="00FE733B" w:rsidRDefault="00FE733B" w:rsidP="002976FA">
      <w:pPr>
        <w:jc w:val="center"/>
      </w:pPr>
    </w:p>
    <w:p w:rsidR="00FE733B" w:rsidRDefault="00FE733B" w:rsidP="002976FA">
      <w:pPr>
        <w:jc w:val="center"/>
        <w:rPr>
          <w:b/>
        </w:rPr>
      </w:pPr>
    </w:p>
    <w:p w:rsidR="00FE733B" w:rsidRDefault="00FE733B" w:rsidP="002976FA">
      <w:pPr>
        <w:jc w:val="center"/>
        <w:rPr>
          <w:b/>
        </w:rPr>
      </w:pPr>
    </w:p>
    <w:p w:rsidR="00FE733B" w:rsidRDefault="00FE733B" w:rsidP="00FE733B">
      <w:pPr>
        <w:spacing w:line="480" w:lineRule="auto"/>
        <w:jc w:val="center"/>
        <w:rPr>
          <w:b/>
        </w:rPr>
      </w:pPr>
      <w:r>
        <w:rPr>
          <w:b/>
        </w:rPr>
        <w:lastRenderedPageBreak/>
        <w:t>Questions</w:t>
      </w:r>
    </w:p>
    <w:p w:rsidR="009C6CAA" w:rsidRPr="002976FA" w:rsidRDefault="009C6CAA" w:rsidP="002976FA">
      <w:pPr>
        <w:jc w:val="center"/>
        <w:rPr>
          <w:b/>
        </w:rPr>
      </w:pPr>
      <w:r w:rsidRPr="002976FA">
        <w:rPr>
          <w:b/>
        </w:rPr>
        <w:t>Question 1</w:t>
      </w:r>
    </w:p>
    <w:p w:rsidR="009C6CAA" w:rsidRDefault="009C6CAA" w:rsidP="002976FA">
      <w:pPr>
        <w:spacing w:line="480" w:lineRule="auto"/>
        <w:ind w:firstLine="720"/>
      </w:pPr>
      <w:r>
        <w:t>Arguably, most of the collective bargaining agreement in the United States of</w:t>
      </w:r>
      <w:r w:rsidR="00A456F5">
        <w:t xml:space="preserve"> America contains </w:t>
      </w:r>
      <w:r w:rsidR="000E7475">
        <w:t xml:space="preserve">a </w:t>
      </w:r>
      <w:r w:rsidR="002976FA">
        <w:t>grievance procedure (</w:t>
      </w:r>
      <w:r w:rsidR="002976FA">
        <w:rPr>
          <w:color w:val="222222"/>
          <w:szCs w:val="24"/>
          <w:shd w:val="clear" w:color="auto" w:fill="FFFFFF"/>
        </w:rPr>
        <w:t xml:space="preserve">Doellgast &amp; Benassi, </w:t>
      </w:r>
      <w:r w:rsidR="002976FA" w:rsidRPr="002976FA">
        <w:rPr>
          <w:color w:val="222222"/>
          <w:szCs w:val="24"/>
          <w:shd w:val="clear" w:color="auto" w:fill="FFFFFF"/>
        </w:rPr>
        <w:t xml:space="preserve">2020). </w:t>
      </w:r>
      <w:r>
        <w:t xml:space="preserve"> Therefore, a grievance is described as formal notice or complaint of the worker</w:t>
      </w:r>
      <w:r w:rsidR="001F15F6">
        <w:t>’s</w:t>
      </w:r>
      <w:r>
        <w:t xml:space="preserve"> frustration related to working conditions, job qualifications, reasonable pay, other factors in the workplace, or even a violation of the collective bargaining agreement. However, despite getting on a mutual agreement during dialogues, disagreements are inevitable between workers, union groups, and employers during the implementation of collective bargaining agreements. Therefore, to ensure that all parties are satisfied, they must come to a table t</w:t>
      </w:r>
      <w:r w:rsidR="00F003D0">
        <w:t>o resolve the underlying issues; hence</w:t>
      </w:r>
      <w:r>
        <w:t xml:space="preserve"> grievances procedures are included in the collective bargaining agreement, and they are enforced through mediation or </w:t>
      </w:r>
      <w:r w:rsidR="00DC3BE0">
        <w:t>arbitration (</w:t>
      </w:r>
      <w:r w:rsidR="002976FA">
        <w:rPr>
          <w:color w:val="222222"/>
          <w:szCs w:val="24"/>
          <w:shd w:val="clear" w:color="auto" w:fill="FFFFFF"/>
        </w:rPr>
        <w:t xml:space="preserve">Doellgast &amp; Benassi, </w:t>
      </w:r>
      <w:r w:rsidR="002976FA" w:rsidRPr="002976FA">
        <w:rPr>
          <w:color w:val="222222"/>
          <w:szCs w:val="24"/>
          <w:shd w:val="clear" w:color="auto" w:fill="FFFFFF"/>
        </w:rPr>
        <w:t>2020)</w:t>
      </w:r>
      <w:r>
        <w:t xml:space="preserve">. </w:t>
      </w:r>
    </w:p>
    <w:p w:rsidR="009C6CAA" w:rsidRDefault="009C6CAA" w:rsidP="002976FA">
      <w:pPr>
        <w:spacing w:line="480" w:lineRule="auto"/>
        <w:ind w:firstLine="720"/>
      </w:pPr>
      <w:r>
        <w:t xml:space="preserve">Hence, to resolve the issues, a mediator or arbitrator can follow the five principles that govern the resolution of grievances under the collective bargaining agreement between employers and employees. The </w:t>
      </w:r>
      <w:r w:rsidR="00F003D0">
        <w:t xml:space="preserve">first principle states </w:t>
      </w:r>
      <w:r w:rsidR="00DC3BE0">
        <w:t>that what</w:t>
      </w:r>
      <w:r w:rsidR="006001B9">
        <w:t xml:space="preserve"> matters in arbitration is a contract; therefore, sides in dispute are not needed to arbitrate problem</w:t>
      </w:r>
      <w:r>
        <w:t xml:space="preserve"> that they have not </w:t>
      </w:r>
      <w:r w:rsidR="006001B9">
        <w:t xml:space="preserve">concurred </w:t>
      </w:r>
      <w:r>
        <w:t xml:space="preserve">to submit to </w:t>
      </w:r>
      <w:r w:rsidR="00DC3BE0">
        <w:t>arbitration (</w:t>
      </w:r>
      <w:r w:rsidR="002976FA">
        <w:rPr>
          <w:color w:val="222222"/>
          <w:szCs w:val="24"/>
          <w:shd w:val="clear" w:color="auto" w:fill="FFFFFF"/>
        </w:rPr>
        <w:t xml:space="preserve">Doellgast &amp; Benassi, </w:t>
      </w:r>
      <w:r w:rsidR="002976FA" w:rsidRPr="002976FA">
        <w:rPr>
          <w:color w:val="222222"/>
          <w:szCs w:val="24"/>
          <w:shd w:val="clear" w:color="auto" w:fill="FFFFFF"/>
        </w:rPr>
        <w:t>2020)</w:t>
      </w:r>
      <w:r>
        <w:t xml:space="preserve">. Hence, an examination of whether there is a duty to arbitrate a dispute is determined by the courts. Second, in establishing whether there is a duty to arbitrate a dispute, the courts cannot examine the merits of the underlying grievances even if it appears to be minor issues. Third, in labor contracts containing an arbitration clause, it gives audacity of </w:t>
      </w:r>
      <w:r w:rsidR="00C402DE">
        <w:t>arbitrabilbity</w:t>
      </w:r>
      <w:r>
        <w:t xml:space="preserve"> unless a positive assurance that the arbitration does not allow an interpretation that may cover the dispute. Fourth, provided that an arbitration award is based on the collective barraging agreement, the courts should enforce it without questioning its verity. </w:t>
      </w:r>
      <w:r>
        <w:lastRenderedPageBreak/>
        <w:t xml:space="preserve">Lastly, in labor agreement interpretations, the arbitrator is not bounded to the words of the contract. Arbitrators are allowed to consider aspects such as past practices, parol evidence, and the shop's common </w:t>
      </w:r>
      <w:r w:rsidR="00DC3BE0">
        <w:t>law (</w:t>
      </w:r>
      <w:r w:rsidR="002976FA">
        <w:rPr>
          <w:color w:val="222222"/>
          <w:szCs w:val="24"/>
          <w:shd w:val="clear" w:color="auto" w:fill="FFFFFF"/>
        </w:rPr>
        <w:t xml:space="preserve">Doellgast &amp; Benassi, </w:t>
      </w:r>
      <w:r w:rsidR="002976FA" w:rsidRPr="002976FA">
        <w:rPr>
          <w:color w:val="222222"/>
          <w:szCs w:val="24"/>
          <w:shd w:val="clear" w:color="auto" w:fill="FFFFFF"/>
        </w:rPr>
        <w:t>2020)</w:t>
      </w:r>
      <w:r>
        <w:t xml:space="preserve">. </w:t>
      </w:r>
    </w:p>
    <w:p w:rsidR="009C6CAA" w:rsidRDefault="009C6CAA" w:rsidP="002976FA">
      <w:pPr>
        <w:spacing w:line="480" w:lineRule="auto"/>
        <w:ind w:firstLine="720"/>
      </w:pPr>
      <w:r>
        <w:t xml:space="preserve">However, for a non-union environment, grievances and arbitration processes should be utilized to ensure the unhappy party has a privilege to be heard and have their grievances resolved. In most cases, non-union members rely on the human resource department for </w:t>
      </w:r>
      <w:r w:rsidR="00DC3BE0">
        <w:t>assistance (</w:t>
      </w:r>
      <w:r w:rsidR="002976FA">
        <w:rPr>
          <w:color w:val="222222"/>
          <w:szCs w:val="24"/>
          <w:shd w:val="clear" w:color="auto" w:fill="FFFFFF"/>
        </w:rPr>
        <w:t xml:space="preserve">Doellgast &amp; Benassi, </w:t>
      </w:r>
      <w:r w:rsidR="002976FA" w:rsidRPr="002976FA">
        <w:rPr>
          <w:color w:val="222222"/>
          <w:szCs w:val="24"/>
          <w:shd w:val="clear" w:color="auto" w:fill="FFFFFF"/>
        </w:rPr>
        <w:t>2020)</w:t>
      </w:r>
      <w:r>
        <w:t xml:space="preserve">. </w:t>
      </w:r>
    </w:p>
    <w:p w:rsidR="009C6CAA" w:rsidRPr="002976FA" w:rsidRDefault="009C6CAA" w:rsidP="002976FA">
      <w:pPr>
        <w:jc w:val="center"/>
        <w:rPr>
          <w:b/>
        </w:rPr>
      </w:pPr>
      <w:r w:rsidRPr="002976FA">
        <w:rPr>
          <w:b/>
        </w:rPr>
        <w:t>Question 2</w:t>
      </w:r>
    </w:p>
    <w:p w:rsidR="009C6CAA" w:rsidRDefault="009C6CAA" w:rsidP="002976FA">
      <w:pPr>
        <w:spacing w:line="480" w:lineRule="auto"/>
        <w:ind w:firstLine="720"/>
      </w:pPr>
      <w:r>
        <w:t>Arbitration is described as a disput</w:t>
      </w:r>
      <w:r w:rsidR="000E7475">
        <w:t xml:space="preserve">e settlement between parties where they </w:t>
      </w:r>
      <w:r>
        <w:t>agree on a contract with the help of a third pa</w:t>
      </w:r>
      <w:r w:rsidR="000E7475">
        <w:t>rty who is the arbitrator, without</w:t>
      </w:r>
      <w:r>
        <w:t xml:space="preserve"> opting to court action. Notably, arbitration, in most cases, is voluntary; however, it is a requirement by the laws in some cases. Therefore, if two parties agree to abide by the arbitrator's decision, it is termed </w:t>
      </w:r>
      <w:r w:rsidR="00703735">
        <w:t>a binding arbitration. T</w:t>
      </w:r>
      <w:r>
        <w:t>here are two major types of arbitration when it comes to labor union disputes. These include interest arbitration, which involves how sides present their grievances to a neutral third party to give a binding arbitration. The second type</w:t>
      </w:r>
      <w:r w:rsidR="00703735">
        <w:t xml:space="preserve"> is the right arbitration, where</w:t>
      </w:r>
      <w:r>
        <w:t xml:space="preserve"> the rights of the si</w:t>
      </w:r>
      <w:r w:rsidR="00703735">
        <w:t>des involved in a contract are</w:t>
      </w:r>
      <w:r>
        <w:t xml:space="preserve"> applied during arbitration by the arbitrator</w:t>
      </w:r>
      <w:r w:rsidR="002976FA">
        <w:t xml:space="preserve"> (</w:t>
      </w:r>
      <w:r w:rsidR="002976FA">
        <w:rPr>
          <w:color w:val="222222"/>
          <w:szCs w:val="24"/>
          <w:shd w:val="clear" w:color="auto" w:fill="FFFFFF"/>
        </w:rPr>
        <w:t xml:space="preserve">Hickox, </w:t>
      </w:r>
      <w:r w:rsidR="002976FA" w:rsidRPr="002976FA">
        <w:rPr>
          <w:color w:val="222222"/>
          <w:szCs w:val="24"/>
          <w:shd w:val="clear" w:color="auto" w:fill="FFFFFF"/>
        </w:rPr>
        <w:t>2018).</w:t>
      </w:r>
    </w:p>
    <w:p w:rsidR="002B345E" w:rsidRDefault="009C6CAA" w:rsidP="002976FA">
      <w:pPr>
        <w:spacing w:line="480" w:lineRule="auto"/>
        <w:ind w:firstLine="720"/>
      </w:pPr>
      <w:r>
        <w:t>Disciplinary actions seem like regular issue brought by the employees to the arbitrator. The collective bargaining agreement usually caters to the employers' right to terminate or discipline their employees for a just cause. Just cause is described as a legally reasonable act or a sufficient reason to justify the course of action. The just cause provision in the contract has been the employees' shield when it comes to arbitrary and unpredictable discipline actions. Therefore, in deciding if the disciplinary actions were just, arbitrators use the seven steps provided under the just cause to evaluate if the disciplinary action was fair or unfair</w:t>
      </w:r>
      <w:r w:rsidR="002976FA">
        <w:t>(</w:t>
      </w:r>
      <w:r w:rsidR="002976FA">
        <w:rPr>
          <w:color w:val="222222"/>
          <w:szCs w:val="24"/>
          <w:shd w:val="clear" w:color="auto" w:fill="FFFFFF"/>
        </w:rPr>
        <w:t xml:space="preserve">Hickox, </w:t>
      </w:r>
      <w:r w:rsidR="002976FA" w:rsidRPr="002976FA">
        <w:rPr>
          <w:color w:val="222222"/>
          <w:szCs w:val="24"/>
          <w:shd w:val="clear" w:color="auto" w:fill="FFFFFF"/>
        </w:rPr>
        <w:t>2018).</w:t>
      </w:r>
      <w:r>
        <w:t xml:space="preserve"> The test steps </w:t>
      </w:r>
      <w:r>
        <w:lastRenderedPageBreak/>
        <w:t xml:space="preserve">include, first, if the employee was provided with adequate warning, second, if they were an investigation prior to the determination, third, if there was adequate evidence to prove the employee guilty of the said violation. Fourth, if there was equal treatment during the disciplinary process, in that case, the fifth test is if the penalty is reasonable enough, sixth is the rule of reason by evaluating the employee's past actions, and lastly, is internal </w:t>
      </w:r>
      <w:r w:rsidR="00DC3BE0">
        <w:t>consistency (</w:t>
      </w:r>
      <w:r w:rsidR="002976FA">
        <w:rPr>
          <w:color w:val="222222"/>
          <w:szCs w:val="24"/>
          <w:shd w:val="clear" w:color="auto" w:fill="FFFFFF"/>
        </w:rPr>
        <w:t xml:space="preserve">Hickox, </w:t>
      </w:r>
      <w:r w:rsidR="002976FA" w:rsidRPr="002976FA">
        <w:rPr>
          <w:color w:val="222222"/>
          <w:szCs w:val="24"/>
          <w:shd w:val="clear" w:color="auto" w:fill="FFFFFF"/>
        </w:rPr>
        <w:t>2018).</w:t>
      </w:r>
      <w:r>
        <w:t xml:space="preserve"> Hence, if the arbitrator finds out that the employer disciplinary actions were not just, the employer is obligated to reinstate with or without back pay the terminated employee. The process is not expected to be different if one does not have a union representation.</w:t>
      </w:r>
    </w:p>
    <w:p w:rsidR="002976FA" w:rsidRDefault="002976FA" w:rsidP="002976FA">
      <w:pPr>
        <w:spacing w:line="480" w:lineRule="auto"/>
        <w:jc w:val="center"/>
        <w:rPr>
          <w:b/>
        </w:rPr>
      </w:pPr>
    </w:p>
    <w:p w:rsidR="002976FA" w:rsidRDefault="002976FA" w:rsidP="002976FA">
      <w:pPr>
        <w:spacing w:line="480" w:lineRule="auto"/>
        <w:jc w:val="center"/>
        <w:rPr>
          <w:b/>
        </w:rPr>
      </w:pPr>
    </w:p>
    <w:p w:rsidR="002976FA" w:rsidRDefault="002976FA" w:rsidP="002976FA">
      <w:pPr>
        <w:spacing w:line="480" w:lineRule="auto"/>
        <w:jc w:val="center"/>
        <w:rPr>
          <w:b/>
        </w:rPr>
      </w:pPr>
    </w:p>
    <w:p w:rsidR="002976FA" w:rsidRDefault="002976FA" w:rsidP="002976FA">
      <w:pPr>
        <w:spacing w:line="480" w:lineRule="auto"/>
        <w:jc w:val="center"/>
        <w:rPr>
          <w:b/>
        </w:rPr>
      </w:pPr>
    </w:p>
    <w:p w:rsidR="002976FA" w:rsidRDefault="002976FA" w:rsidP="002976FA">
      <w:pPr>
        <w:spacing w:line="480" w:lineRule="auto"/>
        <w:jc w:val="center"/>
        <w:rPr>
          <w:b/>
        </w:rPr>
      </w:pPr>
    </w:p>
    <w:p w:rsidR="002976FA" w:rsidRDefault="002976FA" w:rsidP="002976FA">
      <w:pPr>
        <w:spacing w:line="480" w:lineRule="auto"/>
        <w:jc w:val="center"/>
        <w:rPr>
          <w:b/>
        </w:rPr>
      </w:pPr>
    </w:p>
    <w:p w:rsidR="002976FA" w:rsidRDefault="002976FA" w:rsidP="002976FA">
      <w:pPr>
        <w:spacing w:line="480" w:lineRule="auto"/>
        <w:jc w:val="center"/>
        <w:rPr>
          <w:b/>
        </w:rPr>
      </w:pPr>
    </w:p>
    <w:p w:rsidR="002976FA" w:rsidRDefault="002976FA" w:rsidP="002976FA">
      <w:pPr>
        <w:spacing w:line="480" w:lineRule="auto"/>
        <w:jc w:val="center"/>
        <w:rPr>
          <w:b/>
        </w:rPr>
      </w:pPr>
    </w:p>
    <w:p w:rsidR="002976FA" w:rsidRDefault="002976FA" w:rsidP="002976FA">
      <w:pPr>
        <w:spacing w:line="480" w:lineRule="auto"/>
        <w:jc w:val="center"/>
        <w:rPr>
          <w:b/>
        </w:rPr>
      </w:pPr>
    </w:p>
    <w:p w:rsidR="002976FA" w:rsidRDefault="002976FA" w:rsidP="002976FA">
      <w:pPr>
        <w:spacing w:line="480" w:lineRule="auto"/>
        <w:rPr>
          <w:b/>
        </w:rPr>
      </w:pPr>
    </w:p>
    <w:p w:rsidR="00FE733B" w:rsidRDefault="00FE733B" w:rsidP="002976FA">
      <w:pPr>
        <w:spacing w:line="480" w:lineRule="auto"/>
        <w:rPr>
          <w:b/>
        </w:rPr>
      </w:pPr>
    </w:p>
    <w:p w:rsidR="00E20A21" w:rsidRDefault="00E20A21" w:rsidP="002976FA">
      <w:pPr>
        <w:spacing w:line="480" w:lineRule="auto"/>
        <w:jc w:val="center"/>
        <w:rPr>
          <w:b/>
        </w:rPr>
      </w:pPr>
    </w:p>
    <w:p w:rsidR="002976FA" w:rsidRDefault="002976FA" w:rsidP="002976FA">
      <w:pPr>
        <w:spacing w:line="480" w:lineRule="auto"/>
        <w:jc w:val="center"/>
        <w:rPr>
          <w:b/>
        </w:rPr>
      </w:pPr>
      <w:bookmarkStart w:id="0" w:name="_GoBack"/>
      <w:bookmarkEnd w:id="0"/>
      <w:r w:rsidRPr="002976FA">
        <w:rPr>
          <w:b/>
        </w:rPr>
        <w:lastRenderedPageBreak/>
        <w:t>References</w:t>
      </w:r>
    </w:p>
    <w:p w:rsidR="002976FA" w:rsidRPr="002976FA" w:rsidRDefault="002976FA" w:rsidP="002976FA">
      <w:pPr>
        <w:spacing w:line="480" w:lineRule="auto"/>
        <w:ind w:left="720" w:hanging="720"/>
        <w:rPr>
          <w:i/>
          <w:color w:val="222222"/>
          <w:szCs w:val="24"/>
          <w:shd w:val="clear" w:color="auto" w:fill="FFFFFF"/>
        </w:rPr>
      </w:pPr>
      <w:r w:rsidRPr="002976FA">
        <w:rPr>
          <w:color w:val="222222"/>
          <w:szCs w:val="24"/>
          <w:shd w:val="clear" w:color="auto" w:fill="FFFFFF"/>
        </w:rPr>
        <w:t>Doellgast, V., &amp; Benassi, C. (2020). Collective bargaining. In </w:t>
      </w:r>
      <w:r w:rsidRPr="002976FA">
        <w:rPr>
          <w:iCs/>
          <w:color w:val="222222"/>
          <w:szCs w:val="24"/>
          <w:shd w:val="clear" w:color="auto" w:fill="FFFFFF"/>
        </w:rPr>
        <w:t>Handbook of research on employee voice</w:t>
      </w:r>
      <w:r w:rsidRPr="002976FA">
        <w:rPr>
          <w:color w:val="222222"/>
          <w:szCs w:val="24"/>
          <w:shd w:val="clear" w:color="auto" w:fill="FFFFFF"/>
        </w:rPr>
        <w:t xml:space="preserve">. </w:t>
      </w:r>
      <w:r w:rsidRPr="002976FA">
        <w:rPr>
          <w:i/>
          <w:color w:val="222222"/>
          <w:szCs w:val="24"/>
          <w:shd w:val="clear" w:color="auto" w:fill="FFFFFF"/>
        </w:rPr>
        <w:t>Edward Elgar Publishing.</w:t>
      </w:r>
    </w:p>
    <w:p w:rsidR="002976FA" w:rsidRPr="002976FA" w:rsidRDefault="002976FA" w:rsidP="002976FA">
      <w:pPr>
        <w:spacing w:line="480" w:lineRule="auto"/>
        <w:ind w:left="720" w:hanging="720"/>
        <w:rPr>
          <w:b/>
          <w:szCs w:val="24"/>
        </w:rPr>
      </w:pPr>
      <w:r w:rsidRPr="002976FA">
        <w:rPr>
          <w:color w:val="222222"/>
          <w:szCs w:val="24"/>
          <w:shd w:val="clear" w:color="auto" w:fill="FFFFFF"/>
        </w:rPr>
        <w:t>Hickox, S. A. (2018). Arbitration of Just Cause Claims Benefits Employees with Disabilities. </w:t>
      </w:r>
      <w:r w:rsidRPr="002976FA">
        <w:rPr>
          <w:i/>
          <w:iCs/>
          <w:color w:val="222222"/>
          <w:szCs w:val="24"/>
          <w:shd w:val="clear" w:color="auto" w:fill="FFFFFF"/>
        </w:rPr>
        <w:t>U. Pa. J. Bus. L.</w:t>
      </w:r>
      <w:r w:rsidRPr="002976FA">
        <w:rPr>
          <w:color w:val="222222"/>
          <w:szCs w:val="24"/>
          <w:shd w:val="clear" w:color="auto" w:fill="FFFFFF"/>
        </w:rPr>
        <w:t>, </w:t>
      </w:r>
      <w:r w:rsidRPr="002976FA">
        <w:rPr>
          <w:i/>
          <w:iCs/>
          <w:color w:val="222222"/>
          <w:szCs w:val="24"/>
          <w:shd w:val="clear" w:color="auto" w:fill="FFFFFF"/>
        </w:rPr>
        <w:t>20</w:t>
      </w:r>
      <w:r w:rsidRPr="002976FA">
        <w:rPr>
          <w:color w:val="222222"/>
          <w:szCs w:val="24"/>
          <w:shd w:val="clear" w:color="auto" w:fill="FFFFFF"/>
        </w:rPr>
        <w:t>, 340.</w:t>
      </w:r>
    </w:p>
    <w:sectPr w:rsidR="002976FA" w:rsidRPr="002976FA" w:rsidSect="0055747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20A4" w:rsidRDefault="00FA20A4" w:rsidP="002976FA">
      <w:pPr>
        <w:spacing w:after="0" w:line="240" w:lineRule="auto"/>
      </w:pPr>
      <w:r>
        <w:separator/>
      </w:r>
    </w:p>
  </w:endnote>
  <w:endnote w:type="continuationSeparator" w:id="1">
    <w:p w:rsidR="00FA20A4" w:rsidRDefault="00FA20A4" w:rsidP="002976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20A4" w:rsidRDefault="00FA20A4" w:rsidP="002976FA">
      <w:pPr>
        <w:spacing w:after="0" w:line="240" w:lineRule="auto"/>
      </w:pPr>
      <w:r>
        <w:separator/>
      </w:r>
    </w:p>
  </w:footnote>
  <w:footnote w:type="continuationSeparator" w:id="1">
    <w:p w:rsidR="00FA20A4" w:rsidRDefault="00FA20A4" w:rsidP="002976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6FA" w:rsidRDefault="002976FA">
    <w:pPr>
      <w:pStyle w:val="Header"/>
    </w:pPr>
    <w:r>
      <w:tab/>
    </w:r>
    <w:r>
      <w:tab/>
    </w:r>
    <w:r w:rsidR="00472833">
      <w:fldChar w:fldCharType="begin"/>
    </w:r>
    <w:r w:rsidR="00FE733B">
      <w:instrText xml:space="preserve"> PAGE   \* MERGEFORMAT </w:instrText>
    </w:r>
    <w:r w:rsidR="00472833">
      <w:fldChar w:fldCharType="separate"/>
    </w:r>
    <w:r w:rsidR="00DC3BE0">
      <w:rPr>
        <w:noProof/>
      </w:rPr>
      <w:t>1</w:t>
    </w:r>
    <w:r w:rsidR="00472833">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20FD"/>
    <w:rsid w:val="00031D4C"/>
    <w:rsid w:val="000A78F5"/>
    <w:rsid w:val="000C26F3"/>
    <w:rsid w:val="000E7475"/>
    <w:rsid w:val="0010210C"/>
    <w:rsid w:val="00184361"/>
    <w:rsid w:val="001B25A4"/>
    <w:rsid w:val="001F15F6"/>
    <w:rsid w:val="00220AC8"/>
    <w:rsid w:val="002976FA"/>
    <w:rsid w:val="002B345E"/>
    <w:rsid w:val="00314987"/>
    <w:rsid w:val="003B58EA"/>
    <w:rsid w:val="00431B58"/>
    <w:rsid w:val="00472833"/>
    <w:rsid w:val="005479AE"/>
    <w:rsid w:val="00557473"/>
    <w:rsid w:val="00581C84"/>
    <w:rsid w:val="006001B9"/>
    <w:rsid w:val="00655DB2"/>
    <w:rsid w:val="00663322"/>
    <w:rsid w:val="00703735"/>
    <w:rsid w:val="007074E3"/>
    <w:rsid w:val="007E20FD"/>
    <w:rsid w:val="008B32DE"/>
    <w:rsid w:val="008C0222"/>
    <w:rsid w:val="00913EB2"/>
    <w:rsid w:val="00946261"/>
    <w:rsid w:val="009B66C7"/>
    <w:rsid w:val="009C6CAA"/>
    <w:rsid w:val="00A456F5"/>
    <w:rsid w:val="00AD3995"/>
    <w:rsid w:val="00B00331"/>
    <w:rsid w:val="00B95CBC"/>
    <w:rsid w:val="00C402DE"/>
    <w:rsid w:val="00D2351B"/>
    <w:rsid w:val="00D4050D"/>
    <w:rsid w:val="00DC3BE0"/>
    <w:rsid w:val="00E20A21"/>
    <w:rsid w:val="00F003D0"/>
    <w:rsid w:val="00F71088"/>
    <w:rsid w:val="00FA20A4"/>
    <w:rsid w:val="00FE73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4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6FA"/>
  </w:style>
  <w:style w:type="paragraph" w:styleId="Footer">
    <w:name w:val="footer"/>
    <w:basedOn w:val="Normal"/>
    <w:link w:val="FooterChar"/>
    <w:uiPriority w:val="99"/>
    <w:unhideWhenUsed/>
    <w:rsid w:val="00297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6FA"/>
  </w:style>
</w:styles>
</file>

<file path=word/webSettings.xml><?xml version="1.0" encoding="utf-8"?>
<w:webSettings xmlns:r="http://schemas.openxmlformats.org/officeDocument/2006/relationships" xmlns:w="http://schemas.openxmlformats.org/wordprocessingml/2006/main">
  <w:divs>
    <w:div w:id="139893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2020-10-24T08:24:00Z</dcterms:created>
  <dcterms:modified xsi:type="dcterms:W3CDTF">2020-10-24T08:24:00Z</dcterms:modified>
</cp:coreProperties>
</file>