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072509" w14:textId="0E20F153" w:rsidR="00866235" w:rsidRDefault="00866235">
      <w:r>
        <w:rPr>
          <w:rFonts w:ascii="Lucida Sans Unicode" w:hAnsi="Lucida Sans Unicode" w:cs="Lucida Sans Unicode"/>
          <w:color w:val="494C4E"/>
          <w:spacing w:val="3"/>
          <w:sz w:val="29"/>
          <w:szCs w:val="29"/>
          <w:shd w:val="clear" w:color="auto" w:fill="FFFFFF"/>
        </w:rPr>
        <w:t>The COVID-19 pandemic offers both challenges to overcome and awareness to crisis response.  We will use this assignment to analyze the similarities and differences of responding to healthcare and cyber incidents.</w:t>
      </w:r>
    </w:p>
    <w:sectPr w:rsidR="008662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6235"/>
    <w:rsid w:val="00866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711219"/>
  <w15:chartTrackingRefBased/>
  <w15:docId w15:val="{546C3D44-C207-438A-9396-5726977D8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182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</dc:creator>
  <cp:keywords/>
  <dc:description/>
  <cp:lastModifiedBy>t</cp:lastModifiedBy>
  <cp:revision>1</cp:revision>
  <dcterms:created xsi:type="dcterms:W3CDTF">2020-05-28T17:45:00Z</dcterms:created>
  <dcterms:modified xsi:type="dcterms:W3CDTF">2020-05-28T17:46:00Z</dcterms:modified>
</cp:coreProperties>
</file>