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7D587" w14:textId="77777777" w:rsidR="00196D21" w:rsidRDefault="00A8017B">
      <w:bookmarkStart w:id="0" w:name="_GoBack"/>
      <w:bookmarkEnd w:id="0"/>
      <w:r>
        <w:rPr>
          <w:noProof/>
        </w:rPr>
        <w:drawing>
          <wp:inline distT="0" distB="0" distL="0" distR="0" wp14:anchorId="7DF55153" wp14:editId="473DDB08">
            <wp:extent cx="4775145" cy="4133215"/>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95537" name="Picture 2"/>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4807479" cy="4161202"/>
                    </a:xfrm>
                    <a:prstGeom prst="rect">
                      <a:avLst/>
                    </a:prstGeom>
                    <a:noFill/>
                  </pic:spPr>
                </pic:pic>
              </a:graphicData>
            </a:graphic>
          </wp:inline>
        </w:drawing>
      </w:r>
    </w:p>
    <w:p w14:paraId="4BD7713C" w14:textId="77777777" w:rsidR="00D93043" w:rsidRPr="00D93043" w:rsidRDefault="00A8017B" w:rsidP="00D93043">
      <w:pPr>
        <w:spacing w:line="480" w:lineRule="auto"/>
        <w:rPr>
          <w:rFonts w:ascii="Times New Roman" w:hAnsi="Times New Roman" w:cs="Times New Roman"/>
          <w:sz w:val="24"/>
          <w:szCs w:val="24"/>
        </w:rPr>
      </w:pPr>
      <w:r w:rsidRPr="00D93043">
        <w:rPr>
          <w:rFonts w:ascii="Times New Roman" w:hAnsi="Times New Roman" w:cs="Times New Roman"/>
          <w:sz w:val="24"/>
          <w:szCs w:val="24"/>
        </w:rPr>
        <w:t>CHO cells transfected with a human antigen and CHO cells transfected with a mouse homolog (of the human antigen) were analyzed for surface antigen expression using two different monoclonal antibodies (1 and 2). Explain the data.</w:t>
      </w:r>
    </w:p>
    <w:p w14:paraId="231FF8CB" w14:textId="254CBAEA" w:rsidR="00D93043" w:rsidRPr="001E44B6" w:rsidRDefault="00A8017B" w:rsidP="001E44B6">
      <w:pPr>
        <w:spacing w:line="480" w:lineRule="auto"/>
        <w:rPr>
          <w:rFonts w:ascii="Times New Roman" w:hAnsi="Times New Roman" w:cs="Times New Roman"/>
          <w:sz w:val="24"/>
          <w:szCs w:val="24"/>
        </w:rPr>
      </w:pPr>
      <w:r w:rsidRPr="001E44B6">
        <w:rPr>
          <w:rFonts w:ascii="Times New Roman" w:hAnsi="Times New Roman" w:cs="Times New Roman"/>
          <w:sz w:val="24"/>
          <w:szCs w:val="24"/>
        </w:rPr>
        <w:t>Chinese hamster ovary (CHO) is the mammalian most preferred cells that are used for bio-pharmaceutical production.</w:t>
      </w:r>
      <w:r>
        <w:rPr>
          <w:rFonts w:ascii="Times New Roman" w:hAnsi="Times New Roman" w:cs="Times New Roman"/>
          <w:sz w:val="24"/>
          <w:szCs w:val="24"/>
        </w:rPr>
        <w:t xml:space="preserve"> The main problem experienced in metabolic engineering is the ability to achieve an effective mammalian cellular system response by balancing the tuned heterogonous metabolic pathway </w:t>
      </w:r>
      <w:r w:rsidR="001731F4">
        <w:rPr>
          <w:rFonts w:ascii="Times New Roman" w:hAnsi="Times New Roman" w:cs="Times New Roman"/>
          <w:sz w:val="24"/>
          <w:szCs w:val="24"/>
        </w:rPr>
        <w:t xml:space="preserve">flux. This is a schematic illustration of CHO cells transfected with mammals which is a mouse homolog and human </w:t>
      </w:r>
      <w:r w:rsidR="00845F52">
        <w:rPr>
          <w:rFonts w:ascii="Times New Roman" w:hAnsi="Times New Roman" w:cs="Times New Roman"/>
          <w:sz w:val="24"/>
          <w:szCs w:val="24"/>
        </w:rPr>
        <w:t>antigen. During</w:t>
      </w:r>
      <w:r w:rsidR="00DC389B">
        <w:rPr>
          <w:rFonts w:ascii="Times New Roman" w:hAnsi="Times New Roman" w:cs="Times New Roman"/>
          <w:sz w:val="24"/>
          <w:szCs w:val="24"/>
        </w:rPr>
        <w:t xml:space="preserve"> </w:t>
      </w:r>
      <w:r w:rsidR="00845F52">
        <w:rPr>
          <w:rFonts w:ascii="Times New Roman" w:hAnsi="Times New Roman" w:cs="Times New Roman"/>
          <w:sz w:val="24"/>
          <w:szCs w:val="24"/>
        </w:rPr>
        <w:t xml:space="preserve">transfection, the introduced nucleic acid may transiently exist in the cells in that it is expressed for a short period and does not replicate. It also may be stable and go through integration into the recipient genome, replicating when the genome of the host replicates. Human cell lines can produce many </w:t>
      </w:r>
      <w:r w:rsidR="006313C1">
        <w:rPr>
          <w:rFonts w:ascii="Times New Roman" w:hAnsi="Times New Roman" w:cs="Times New Roman"/>
          <w:sz w:val="24"/>
          <w:szCs w:val="24"/>
        </w:rPr>
        <w:lastRenderedPageBreak/>
        <w:t>similar proteins</w:t>
      </w:r>
      <w:r w:rsidR="00845F52">
        <w:rPr>
          <w:rFonts w:ascii="Times New Roman" w:hAnsi="Times New Roman" w:cs="Times New Roman"/>
          <w:sz w:val="24"/>
          <w:szCs w:val="24"/>
        </w:rPr>
        <w:t xml:space="preserve"> to those that are naturally created in human bodies, which is an advantage as compared to other mammalian expression </w:t>
      </w:r>
      <w:r w:rsidR="006313C1">
        <w:rPr>
          <w:rFonts w:ascii="Times New Roman" w:hAnsi="Times New Roman" w:cs="Times New Roman"/>
          <w:sz w:val="24"/>
          <w:szCs w:val="24"/>
        </w:rPr>
        <w:t>systems such as a mouse. In</w:t>
      </w:r>
      <w:r w:rsidR="00845F52">
        <w:rPr>
          <w:rFonts w:ascii="Times New Roman" w:hAnsi="Times New Roman" w:cs="Times New Roman"/>
          <w:sz w:val="24"/>
          <w:szCs w:val="24"/>
        </w:rPr>
        <w:t xml:space="preserve"> the above </w:t>
      </w:r>
      <w:r w:rsidR="006313C1">
        <w:rPr>
          <w:rFonts w:ascii="Times New Roman" w:hAnsi="Times New Roman" w:cs="Times New Roman"/>
          <w:sz w:val="24"/>
          <w:szCs w:val="24"/>
        </w:rPr>
        <w:t xml:space="preserve">experiment, the CHO cells are still having high stability compared to that of a mouse. This expression system is highly tolerant of changes such as temperature, pressure, pH and oxygen level during manufacturing. In antibody two, the human antigen level remains the same because the cell line has been used to the familiarity </w:t>
      </w:r>
      <w:r w:rsidR="00D03DAE">
        <w:rPr>
          <w:rFonts w:ascii="Times New Roman" w:hAnsi="Times New Roman" w:cs="Times New Roman"/>
          <w:sz w:val="24"/>
          <w:szCs w:val="24"/>
        </w:rPr>
        <w:t>level. The</w:t>
      </w:r>
      <w:r w:rsidR="000C1828">
        <w:rPr>
          <w:rFonts w:ascii="Times New Roman" w:hAnsi="Times New Roman" w:cs="Times New Roman"/>
          <w:sz w:val="24"/>
          <w:szCs w:val="24"/>
        </w:rPr>
        <w:t xml:space="preserve"> cell lines of a mouse cannot produce similar proteins to </w:t>
      </w:r>
      <w:r w:rsidR="00D03DAE">
        <w:rPr>
          <w:rFonts w:ascii="Times New Roman" w:hAnsi="Times New Roman" w:cs="Times New Roman"/>
          <w:sz w:val="24"/>
          <w:szCs w:val="24"/>
        </w:rPr>
        <w:t>the</w:t>
      </w:r>
      <w:r w:rsidR="000C1828">
        <w:rPr>
          <w:rFonts w:ascii="Times New Roman" w:hAnsi="Times New Roman" w:cs="Times New Roman"/>
          <w:sz w:val="24"/>
          <w:szCs w:val="24"/>
        </w:rPr>
        <w:t xml:space="preserve"> ones that are naturally produced in their bodies</w:t>
      </w:r>
      <w:r>
        <w:rPr>
          <w:rFonts w:ascii="Times New Roman" w:hAnsi="Times New Roman" w:cs="Times New Roman"/>
          <w:sz w:val="24"/>
          <w:szCs w:val="24"/>
        </w:rPr>
        <w:t>.</w:t>
      </w:r>
      <w:r w:rsidR="000C1828">
        <w:rPr>
          <w:rFonts w:ascii="Times New Roman" w:hAnsi="Times New Roman" w:cs="Times New Roman"/>
          <w:sz w:val="24"/>
          <w:szCs w:val="24"/>
        </w:rPr>
        <w:t xml:space="preserve"> </w:t>
      </w:r>
    </w:p>
    <w:p w14:paraId="1C98501A" w14:textId="77777777" w:rsidR="00D93043" w:rsidRDefault="00D93043"/>
    <w:p w14:paraId="1A45AC72" w14:textId="77777777" w:rsidR="00D93043" w:rsidRDefault="00D93043"/>
    <w:sectPr w:rsidR="00D930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80E"/>
    <w:rsid w:val="000C1828"/>
    <w:rsid w:val="001731F4"/>
    <w:rsid w:val="00196D21"/>
    <w:rsid w:val="001E44B6"/>
    <w:rsid w:val="006313C1"/>
    <w:rsid w:val="007D08BC"/>
    <w:rsid w:val="00845F52"/>
    <w:rsid w:val="00934F93"/>
    <w:rsid w:val="00970C1C"/>
    <w:rsid w:val="00A7580E"/>
    <w:rsid w:val="00A8017B"/>
    <w:rsid w:val="00D03DAE"/>
    <w:rsid w:val="00D93043"/>
    <w:rsid w:val="00DC3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1B5B7"/>
  <w15:chartTrackingRefBased/>
  <w15:docId w15:val="{CB22AD97-08F8-4988-8D95-EB4BFAE4E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2020-03-03T15:58:00Z</dcterms:created>
  <dcterms:modified xsi:type="dcterms:W3CDTF">2020-03-03T15:58:00Z</dcterms:modified>
</cp:coreProperties>
</file>