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FE5B3B" w14:textId="77777777" w:rsidR="00FE60AA" w:rsidRPr="005A2E2A" w:rsidRDefault="00FE60AA">
      <w:pPr>
        <w:pStyle w:val="Body"/>
        <w:rPr>
          <w:b/>
          <w:bCs/>
          <w:color w:val="auto"/>
        </w:rPr>
      </w:pPr>
      <w:bookmarkStart w:id="0" w:name="_GoBack"/>
      <w:bookmarkEnd w:id="0"/>
    </w:p>
    <w:p w14:paraId="1DFE5B3C" w14:textId="6BBA7B00" w:rsidR="00FE60AA" w:rsidRPr="005A2E2A" w:rsidRDefault="00DE77E0">
      <w:pPr>
        <w:pStyle w:val="Body"/>
        <w:jc w:val="center"/>
        <w:rPr>
          <w:b/>
          <w:bCs/>
          <w:color w:val="auto"/>
          <w:sz w:val="32"/>
          <w:szCs w:val="32"/>
        </w:rPr>
      </w:pPr>
      <w:r>
        <w:rPr>
          <w:b/>
          <w:bCs/>
          <w:color w:val="auto"/>
          <w:sz w:val="32"/>
          <w:szCs w:val="32"/>
          <w:lang w:val="en-US"/>
        </w:rPr>
        <w:t>CNL</w:t>
      </w:r>
      <w:r w:rsidR="00A84B96" w:rsidRPr="005A2E2A">
        <w:rPr>
          <w:b/>
          <w:bCs/>
          <w:color w:val="auto"/>
          <w:sz w:val="32"/>
          <w:szCs w:val="32"/>
          <w:lang w:val="en-US"/>
        </w:rPr>
        <w:t>-518 Topic 4: The Six Stages of Kohlberg</w:t>
      </w:r>
    </w:p>
    <w:p w14:paraId="1DFE5B3D" w14:textId="77777777" w:rsidR="00FE60AA" w:rsidRPr="005A2E2A" w:rsidRDefault="00FE60AA">
      <w:pPr>
        <w:pStyle w:val="Body"/>
        <w:rPr>
          <w:b/>
          <w:bCs/>
          <w:color w:val="auto"/>
        </w:rPr>
      </w:pPr>
    </w:p>
    <w:p w14:paraId="1DFE5B3E" w14:textId="77777777" w:rsidR="00FE60AA" w:rsidRPr="005A2E2A" w:rsidRDefault="00A84B96">
      <w:pPr>
        <w:pStyle w:val="Body"/>
        <w:rPr>
          <w:b/>
          <w:bCs/>
          <w:color w:val="auto"/>
        </w:rPr>
      </w:pPr>
      <w:r w:rsidRPr="005A2E2A">
        <w:rPr>
          <w:b/>
          <w:bCs/>
          <w:color w:val="auto"/>
          <w:lang w:val="it-IT"/>
        </w:rPr>
        <w:t>Scenario:</w:t>
      </w:r>
    </w:p>
    <w:p w14:paraId="1DFE5B3F" w14:textId="3388DB65" w:rsidR="00FE60AA" w:rsidRPr="005A2E2A" w:rsidRDefault="00A84B96">
      <w:pPr>
        <w:pStyle w:val="Body"/>
        <w:rPr>
          <w:color w:val="auto"/>
        </w:rPr>
      </w:pPr>
      <w:r w:rsidRPr="005A2E2A">
        <w:rPr>
          <w:color w:val="auto"/>
          <w:lang w:val="en-US"/>
        </w:rPr>
        <w:t>A female adolescent's parents place a low priority on the value of an education. In fact, they prefer that she care for younger siblings instead of studying or completing a high school education. It is March. The student has told her parents that she has in-school suspension for the rest of the school year in order to have time to study</w:t>
      </w:r>
      <w:r w:rsidR="008C5CF3" w:rsidRPr="005A2E2A">
        <w:rPr>
          <w:color w:val="auto"/>
          <w:lang w:val="en-US"/>
        </w:rPr>
        <w:t>,</w:t>
      </w:r>
      <w:r w:rsidRPr="005A2E2A">
        <w:rPr>
          <w:color w:val="auto"/>
          <w:lang w:val="en-US"/>
        </w:rPr>
        <w:t xml:space="preserve"> as she dreams of attending college one day.  </w:t>
      </w:r>
    </w:p>
    <w:p w14:paraId="1DFE5B40" w14:textId="77777777" w:rsidR="00FE60AA" w:rsidRPr="005A2E2A" w:rsidRDefault="00FE60AA">
      <w:pPr>
        <w:pStyle w:val="Body"/>
        <w:rPr>
          <w:color w:val="auto"/>
        </w:rPr>
      </w:pPr>
    </w:p>
    <w:p w14:paraId="1DFE5B42" w14:textId="50A10EC8" w:rsidR="00FE60AA" w:rsidRPr="005A2E2A" w:rsidRDefault="00A84B96">
      <w:pPr>
        <w:pStyle w:val="Body"/>
        <w:rPr>
          <w:color w:val="auto"/>
          <w:lang w:val="en-US"/>
        </w:rPr>
      </w:pPr>
      <w:proofErr w:type="gramStart"/>
      <w:r w:rsidRPr="005A2E2A">
        <w:rPr>
          <w:b/>
          <w:bCs/>
          <w:color w:val="auto"/>
          <w:lang w:val="fr-FR"/>
        </w:rPr>
        <w:t>Directions:</w:t>
      </w:r>
      <w:proofErr w:type="gramEnd"/>
      <w:r w:rsidRPr="005A2E2A">
        <w:rPr>
          <w:b/>
          <w:bCs/>
          <w:color w:val="auto"/>
          <w:lang w:val="fr-FR"/>
        </w:rPr>
        <w:t xml:space="preserve"> </w:t>
      </w:r>
      <w:r w:rsidRPr="005A2E2A">
        <w:rPr>
          <w:color w:val="auto"/>
          <w:lang w:val="en-US"/>
        </w:rPr>
        <w:t xml:space="preserve">Read the scenario listed above. Complete all sections of the matrix provided below </w:t>
      </w:r>
      <w:r w:rsidR="00FB5BA7" w:rsidRPr="005A2E2A">
        <w:rPr>
          <w:color w:val="auto"/>
          <w:lang w:val="en-US"/>
        </w:rPr>
        <w:t xml:space="preserve">from the perspective of an individual in each of </w:t>
      </w:r>
      <w:r w:rsidRPr="005A2E2A">
        <w:rPr>
          <w:color w:val="auto"/>
          <w:lang w:val="en-US"/>
        </w:rPr>
        <w:t>the six stages of Kohlberg</w:t>
      </w:r>
      <w:r w:rsidR="00FB5BA7" w:rsidRPr="005A2E2A">
        <w:rPr>
          <w:color w:val="auto"/>
          <w:lang w:val="en-US"/>
        </w:rPr>
        <w:t xml:space="preserve">’s theory of moral development </w:t>
      </w:r>
      <w:r w:rsidRPr="005A2E2A">
        <w:rPr>
          <w:color w:val="auto"/>
          <w:lang w:val="en-US"/>
        </w:rPr>
        <w:t xml:space="preserve">and the information from the provided scenario. Use complete sentences and include proper </w:t>
      </w:r>
      <w:r w:rsidR="00CD0DD3" w:rsidRPr="005A2E2A">
        <w:rPr>
          <w:color w:val="auto"/>
          <w:lang w:val="en-US"/>
        </w:rPr>
        <w:t xml:space="preserve">scholarly </w:t>
      </w:r>
      <w:r w:rsidRPr="005A2E2A">
        <w:rPr>
          <w:color w:val="auto"/>
          <w:lang w:val="en-US"/>
        </w:rPr>
        <w:t xml:space="preserve">citations for any sources used. </w:t>
      </w:r>
    </w:p>
    <w:p w14:paraId="4BA6A89A" w14:textId="77777777" w:rsidR="00CD0DD3" w:rsidRPr="005A2E2A" w:rsidRDefault="00CD0DD3">
      <w:pPr>
        <w:pStyle w:val="Body"/>
        <w:rPr>
          <w:color w:val="auto"/>
          <w:lang w:val="en-US"/>
        </w:rPr>
      </w:pPr>
    </w:p>
    <w:p w14:paraId="1DFE5B44" w14:textId="019673C7" w:rsidR="00FE60AA" w:rsidRPr="005A2E2A" w:rsidRDefault="00CD0DD3" w:rsidP="00CD0DD3">
      <w:pPr>
        <w:pStyle w:val="Body"/>
        <w:spacing w:after="120"/>
        <w:rPr>
          <w:color w:val="auto"/>
        </w:rPr>
      </w:pPr>
      <w:r w:rsidRPr="005A2E2A">
        <w:rPr>
          <w:b/>
          <w:bCs/>
          <w:color w:val="auto"/>
          <w:sz w:val="28"/>
          <w:szCs w:val="28"/>
          <w:lang w:val="en-US"/>
        </w:rPr>
        <w:t>Level 1: Preconventional Morality</w:t>
      </w:r>
    </w:p>
    <w:tbl>
      <w:tblPr>
        <w:tblW w:w="935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454"/>
        <w:gridCol w:w="3460"/>
        <w:gridCol w:w="3436"/>
      </w:tblGrid>
      <w:tr w:rsidR="005A2E2A" w:rsidRPr="005A2E2A" w14:paraId="1DFE5B4C" w14:textId="77777777" w:rsidTr="00CD0DD3">
        <w:trPr>
          <w:trHeight w:val="600"/>
          <w:tblHeader/>
          <w:jc w:val="center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E5B48" w14:textId="64DB85BB" w:rsidR="00FE60AA" w:rsidRPr="005A2E2A" w:rsidRDefault="00CD0DD3" w:rsidP="00CD0DD3">
            <w:pPr>
              <w:jc w:val="center"/>
              <w:rPr>
                <w:b/>
              </w:rPr>
            </w:pPr>
            <w:r w:rsidRPr="005A2E2A">
              <w:rPr>
                <w:b/>
              </w:rPr>
              <w:t>Stage</w:t>
            </w: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E5B4A" w14:textId="77777777" w:rsidR="00FE60AA" w:rsidRPr="005A2E2A" w:rsidRDefault="00A84B96">
            <w:pPr>
              <w:pStyle w:val="Body"/>
              <w:spacing w:line="240" w:lineRule="auto"/>
              <w:jc w:val="center"/>
              <w:rPr>
                <w:color w:val="auto"/>
              </w:rPr>
            </w:pPr>
            <w:r w:rsidRPr="005A2E2A">
              <w:rPr>
                <w:b/>
                <w:bCs/>
                <w:color w:val="auto"/>
                <w:lang w:val="en-US"/>
              </w:rPr>
              <w:t>Adolescent’s Perspective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8CCE4" w:themeFill="accent1" w:themeFillTint="66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E5B4B" w14:textId="77777777" w:rsidR="00FE60AA" w:rsidRPr="005A2E2A" w:rsidRDefault="00A84B96" w:rsidP="00CD0DD3">
            <w:pPr>
              <w:pStyle w:val="Body"/>
              <w:spacing w:line="240" w:lineRule="auto"/>
              <w:jc w:val="center"/>
              <w:rPr>
                <w:color w:val="auto"/>
              </w:rPr>
            </w:pPr>
            <w:r w:rsidRPr="005A2E2A">
              <w:rPr>
                <w:b/>
                <w:bCs/>
                <w:color w:val="auto"/>
                <w:lang w:val="en-US"/>
              </w:rPr>
              <w:t>Rationale for your Responses</w:t>
            </w:r>
          </w:p>
        </w:tc>
      </w:tr>
      <w:tr w:rsidR="005A2E2A" w:rsidRPr="005A2E2A" w14:paraId="1DFE5B52" w14:textId="77777777" w:rsidTr="00CD0DD3">
        <w:trPr>
          <w:trHeight w:val="1800"/>
          <w:jc w:val="center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E5B4D" w14:textId="77777777" w:rsidR="00FE60AA" w:rsidRPr="005A2E2A" w:rsidRDefault="00FE60AA">
            <w:pPr>
              <w:pStyle w:val="Body"/>
              <w:spacing w:line="240" w:lineRule="auto"/>
              <w:jc w:val="center"/>
              <w:rPr>
                <w:b/>
                <w:bCs/>
                <w:color w:val="auto"/>
                <w:lang w:val="en-US"/>
              </w:rPr>
            </w:pPr>
          </w:p>
          <w:p w14:paraId="1DFE5B4E" w14:textId="77777777" w:rsidR="00FE60AA" w:rsidRPr="005A2E2A" w:rsidRDefault="00A84B96">
            <w:pPr>
              <w:pStyle w:val="Body"/>
              <w:spacing w:line="240" w:lineRule="auto"/>
              <w:jc w:val="center"/>
              <w:rPr>
                <w:b/>
                <w:bCs/>
                <w:color w:val="auto"/>
              </w:rPr>
            </w:pPr>
            <w:r w:rsidRPr="005A2E2A">
              <w:rPr>
                <w:b/>
                <w:bCs/>
                <w:color w:val="auto"/>
                <w:lang w:val="en-US"/>
              </w:rPr>
              <w:t>Stage 1: Obedience and Punishment Orientation</w:t>
            </w:r>
          </w:p>
          <w:p w14:paraId="1DFE5B4F" w14:textId="77777777" w:rsidR="00FE60AA" w:rsidRPr="005A2E2A" w:rsidRDefault="00FE60AA">
            <w:pPr>
              <w:pStyle w:val="Body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E5B50" w14:textId="77777777" w:rsidR="00FE60AA" w:rsidRPr="005A2E2A" w:rsidRDefault="00FE60AA" w:rsidP="00CD0DD3">
            <w:pPr>
              <w:jc w:val="center"/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E5B51" w14:textId="77777777" w:rsidR="00FE60AA" w:rsidRPr="005A2E2A" w:rsidRDefault="00FE60AA" w:rsidP="00CD0DD3">
            <w:pPr>
              <w:jc w:val="center"/>
            </w:pPr>
          </w:p>
        </w:tc>
      </w:tr>
      <w:tr w:rsidR="005A2E2A" w:rsidRPr="005A2E2A" w14:paraId="1DFE5B58" w14:textId="77777777" w:rsidTr="00CD0DD3">
        <w:trPr>
          <w:trHeight w:val="2100"/>
          <w:jc w:val="center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E5B53" w14:textId="77777777" w:rsidR="00FE60AA" w:rsidRPr="005A2E2A" w:rsidRDefault="00FE60AA">
            <w:pPr>
              <w:pStyle w:val="Body"/>
              <w:spacing w:line="240" w:lineRule="auto"/>
              <w:jc w:val="center"/>
              <w:rPr>
                <w:b/>
                <w:bCs/>
                <w:color w:val="auto"/>
                <w:lang w:val="en-US"/>
              </w:rPr>
            </w:pPr>
          </w:p>
          <w:p w14:paraId="1DFE5B54" w14:textId="3619C090" w:rsidR="00FE60AA" w:rsidRPr="005A2E2A" w:rsidRDefault="00A84B96">
            <w:pPr>
              <w:pStyle w:val="Body"/>
              <w:spacing w:line="240" w:lineRule="auto"/>
              <w:jc w:val="center"/>
              <w:rPr>
                <w:b/>
                <w:bCs/>
                <w:color w:val="auto"/>
              </w:rPr>
            </w:pPr>
            <w:r w:rsidRPr="005A2E2A">
              <w:rPr>
                <w:b/>
                <w:bCs/>
                <w:color w:val="auto"/>
                <w:lang w:val="en-US"/>
              </w:rPr>
              <w:t>Stage 2: Instrumental Relativist Orientation</w:t>
            </w:r>
            <w:r w:rsidR="00FB5BA7" w:rsidRPr="005A2E2A">
              <w:rPr>
                <w:b/>
                <w:bCs/>
                <w:color w:val="auto"/>
                <w:lang w:val="en-US"/>
              </w:rPr>
              <w:t>/Exchange of Favors</w:t>
            </w:r>
          </w:p>
          <w:p w14:paraId="1DFE5B55" w14:textId="77777777" w:rsidR="00FE60AA" w:rsidRPr="005A2E2A" w:rsidRDefault="00FE60AA">
            <w:pPr>
              <w:pStyle w:val="Body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E5B56" w14:textId="77777777" w:rsidR="00FE60AA" w:rsidRPr="005A2E2A" w:rsidRDefault="00FE60AA" w:rsidP="00CD0DD3">
            <w:pPr>
              <w:jc w:val="center"/>
            </w:pP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F2F2F2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E5B57" w14:textId="77777777" w:rsidR="00FE60AA" w:rsidRPr="005A2E2A" w:rsidRDefault="00FE60AA" w:rsidP="00CD0DD3">
            <w:pPr>
              <w:jc w:val="center"/>
            </w:pPr>
          </w:p>
        </w:tc>
      </w:tr>
      <w:tr w:rsidR="005A2E2A" w:rsidRPr="005A2E2A" w14:paraId="215346BB" w14:textId="77777777" w:rsidTr="00784023">
        <w:trPr>
          <w:trHeight w:val="55"/>
          <w:jc w:val="center"/>
        </w:trPr>
        <w:tc>
          <w:tcPr>
            <w:tcW w:w="9350" w:type="dxa"/>
            <w:gridSpan w:val="3"/>
            <w:tcBorders>
              <w:top w:val="single" w:sz="18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C9DDEA" w14:textId="5D8033D4" w:rsidR="00CD0DD3" w:rsidRPr="005A2E2A" w:rsidRDefault="00CD0DD3" w:rsidP="00CD0DD3">
            <w:pPr>
              <w:pStyle w:val="Body"/>
              <w:spacing w:line="240" w:lineRule="auto"/>
              <w:jc w:val="center"/>
              <w:rPr>
                <w:b/>
                <w:bCs/>
                <w:color w:val="auto"/>
                <w:lang w:val="en-US"/>
              </w:rPr>
            </w:pPr>
          </w:p>
        </w:tc>
      </w:tr>
      <w:tr w:rsidR="005A2E2A" w:rsidRPr="005A2E2A" w14:paraId="1DFE5B65" w14:textId="77777777" w:rsidTr="00CD0DD3">
        <w:trPr>
          <w:trHeight w:val="1800"/>
          <w:jc w:val="center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E5B60" w14:textId="77777777" w:rsidR="00FE60AA" w:rsidRPr="005A2E2A" w:rsidRDefault="00FE60AA">
            <w:pPr>
              <w:pStyle w:val="Body"/>
              <w:spacing w:line="240" w:lineRule="auto"/>
              <w:jc w:val="center"/>
              <w:rPr>
                <w:b/>
                <w:bCs/>
                <w:color w:val="auto"/>
                <w:lang w:val="en-US"/>
              </w:rPr>
            </w:pPr>
          </w:p>
          <w:p w14:paraId="1DFE5B61" w14:textId="5D2DFDA9" w:rsidR="00FE60AA" w:rsidRPr="005A2E2A" w:rsidRDefault="00A84B96">
            <w:pPr>
              <w:pStyle w:val="Body"/>
              <w:spacing w:line="240" w:lineRule="auto"/>
              <w:jc w:val="center"/>
              <w:rPr>
                <w:b/>
                <w:bCs/>
                <w:color w:val="auto"/>
              </w:rPr>
            </w:pPr>
            <w:r w:rsidRPr="005A2E2A">
              <w:rPr>
                <w:b/>
                <w:bCs/>
                <w:color w:val="auto"/>
                <w:lang w:val="en-US"/>
              </w:rPr>
              <w:t>Stage 3: Conventional Level</w:t>
            </w:r>
            <w:r w:rsidR="00CD0DD3" w:rsidRPr="005A2E2A">
              <w:rPr>
                <w:b/>
                <w:bCs/>
                <w:color w:val="auto"/>
                <w:lang w:val="en-US"/>
              </w:rPr>
              <w:t>/Good Boy or Girl</w:t>
            </w:r>
          </w:p>
          <w:p w14:paraId="1DFE5B62" w14:textId="77777777" w:rsidR="00FE60AA" w:rsidRPr="005A2E2A" w:rsidRDefault="00FE60AA">
            <w:pPr>
              <w:pStyle w:val="Body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E5B63" w14:textId="77777777" w:rsidR="00FE60AA" w:rsidRPr="005A2E2A" w:rsidRDefault="00FE60AA"/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E5B64" w14:textId="77777777" w:rsidR="00FE60AA" w:rsidRPr="005A2E2A" w:rsidRDefault="00FE60AA"/>
        </w:tc>
      </w:tr>
      <w:tr w:rsidR="005A2E2A" w:rsidRPr="005A2E2A" w14:paraId="1DFE5B6B" w14:textId="77777777" w:rsidTr="00CD0DD3">
        <w:trPr>
          <w:trHeight w:val="1500"/>
          <w:jc w:val="center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E5B66" w14:textId="77777777" w:rsidR="00FE60AA" w:rsidRPr="005A2E2A" w:rsidRDefault="00FE60AA">
            <w:pPr>
              <w:pStyle w:val="Body"/>
              <w:spacing w:line="240" w:lineRule="auto"/>
              <w:jc w:val="center"/>
              <w:rPr>
                <w:b/>
                <w:bCs/>
                <w:color w:val="auto"/>
                <w:lang w:val="en-US"/>
              </w:rPr>
            </w:pPr>
          </w:p>
          <w:p w14:paraId="1DFE5B67" w14:textId="77777777" w:rsidR="00FE60AA" w:rsidRPr="005A2E2A" w:rsidRDefault="00A84B96">
            <w:pPr>
              <w:pStyle w:val="Body"/>
              <w:spacing w:line="240" w:lineRule="auto"/>
              <w:jc w:val="center"/>
              <w:rPr>
                <w:b/>
                <w:bCs/>
                <w:color w:val="auto"/>
              </w:rPr>
            </w:pPr>
            <w:r w:rsidRPr="005A2E2A">
              <w:rPr>
                <w:b/>
                <w:bCs/>
                <w:color w:val="auto"/>
                <w:lang w:val="en-US"/>
              </w:rPr>
              <w:t>Stage 4: Maintaining the Social Order</w:t>
            </w:r>
          </w:p>
          <w:p w14:paraId="1DFE5B68" w14:textId="77777777" w:rsidR="00FE60AA" w:rsidRPr="005A2E2A" w:rsidRDefault="00FE60AA">
            <w:pPr>
              <w:pStyle w:val="Body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E5B69" w14:textId="77777777" w:rsidR="00FE60AA" w:rsidRPr="005A2E2A" w:rsidRDefault="00FE60AA"/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E5B6A" w14:textId="77777777" w:rsidR="00FE60AA" w:rsidRPr="005A2E2A" w:rsidRDefault="00FE60AA"/>
        </w:tc>
      </w:tr>
      <w:tr w:rsidR="005A2E2A" w:rsidRPr="005A2E2A" w14:paraId="394D58B9" w14:textId="77777777" w:rsidTr="00CD0DD3">
        <w:trPr>
          <w:trHeight w:val="25"/>
          <w:jc w:val="center"/>
        </w:trPr>
        <w:tc>
          <w:tcPr>
            <w:tcW w:w="9350" w:type="dxa"/>
            <w:gridSpan w:val="3"/>
            <w:tcBorders>
              <w:top w:val="single" w:sz="4" w:space="0" w:color="000000"/>
              <w:left w:val="single" w:sz="4" w:space="0" w:color="000000"/>
              <w:bottom w:val="single" w:sz="18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8931EE" w14:textId="03444C41" w:rsidR="00CD0DD3" w:rsidRPr="005A2E2A" w:rsidRDefault="00CD0DD3" w:rsidP="00CD0DD3">
            <w:pPr>
              <w:pStyle w:val="Body"/>
              <w:spacing w:line="240" w:lineRule="auto"/>
              <w:jc w:val="center"/>
              <w:rPr>
                <w:b/>
                <w:bCs/>
                <w:color w:val="auto"/>
                <w:lang w:val="en-US"/>
              </w:rPr>
            </w:pPr>
          </w:p>
        </w:tc>
      </w:tr>
      <w:tr w:rsidR="005A2E2A" w:rsidRPr="005A2E2A" w14:paraId="1DFE5B78" w14:textId="77777777" w:rsidTr="00CD0DD3">
        <w:trPr>
          <w:trHeight w:val="1800"/>
          <w:jc w:val="center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E5B73" w14:textId="77777777" w:rsidR="00FE60AA" w:rsidRPr="005A2E2A" w:rsidRDefault="00FE60AA">
            <w:pPr>
              <w:pStyle w:val="Body"/>
              <w:spacing w:line="240" w:lineRule="auto"/>
              <w:jc w:val="center"/>
              <w:rPr>
                <w:b/>
                <w:bCs/>
                <w:color w:val="auto"/>
                <w:lang w:val="en-US"/>
              </w:rPr>
            </w:pPr>
          </w:p>
          <w:p w14:paraId="1DFE5B74" w14:textId="77777777" w:rsidR="00FE60AA" w:rsidRPr="005A2E2A" w:rsidRDefault="00A84B96">
            <w:pPr>
              <w:pStyle w:val="Body"/>
              <w:spacing w:line="240" w:lineRule="auto"/>
              <w:jc w:val="center"/>
              <w:rPr>
                <w:b/>
                <w:bCs/>
                <w:color w:val="auto"/>
              </w:rPr>
            </w:pPr>
            <w:r w:rsidRPr="005A2E2A">
              <w:rPr>
                <w:b/>
                <w:bCs/>
                <w:color w:val="auto"/>
                <w:lang w:val="en-US"/>
              </w:rPr>
              <w:t>Stage 5: Social Contract and Individual Rights</w:t>
            </w:r>
          </w:p>
          <w:p w14:paraId="1DFE5B75" w14:textId="77777777" w:rsidR="00FE60AA" w:rsidRPr="005A2E2A" w:rsidRDefault="00FE60AA">
            <w:pPr>
              <w:pStyle w:val="Body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E5B76" w14:textId="77777777" w:rsidR="00FE60AA" w:rsidRPr="005A2E2A" w:rsidRDefault="00FE60AA"/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E5B77" w14:textId="77777777" w:rsidR="00FE60AA" w:rsidRPr="005A2E2A" w:rsidRDefault="00FE60AA"/>
        </w:tc>
      </w:tr>
      <w:tr w:rsidR="005A2E2A" w:rsidRPr="005A2E2A" w14:paraId="1DFE5B7E" w14:textId="77777777" w:rsidTr="00CD0DD3">
        <w:trPr>
          <w:trHeight w:val="1500"/>
          <w:jc w:val="center"/>
        </w:trPr>
        <w:tc>
          <w:tcPr>
            <w:tcW w:w="2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E5B79" w14:textId="77777777" w:rsidR="00FE60AA" w:rsidRPr="005A2E2A" w:rsidRDefault="00FE60AA">
            <w:pPr>
              <w:pStyle w:val="Body"/>
              <w:spacing w:line="240" w:lineRule="auto"/>
              <w:jc w:val="center"/>
              <w:rPr>
                <w:b/>
                <w:bCs/>
                <w:color w:val="auto"/>
                <w:lang w:val="en-US"/>
              </w:rPr>
            </w:pPr>
          </w:p>
          <w:p w14:paraId="1DFE5B7A" w14:textId="77777777" w:rsidR="00FE60AA" w:rsidRPr="005A2E2A" w:rsidRDefault="00A84B96">
            <w:pPr>
              <w:pStyle w:val="Body"/>
              <w:spacing w:line="240" w:lineRule="auto"/>
              <w:jc w:val="center"/>
              <w:rPr>
                <w:b/>
                <w:bCs/>
                <w:color w:val="auto"/>
              </w:rPr>
            </w:pPr>
            <w:r w:rsidRPr="005A2E2A">
              <w:rPr>
                <w:b/>
                <w:bCs/>
                <w:color w:val="auto"/>
                <w:lang w:val="en-US"/>
              </w:rPr>
              <w:t>Stage 6: Universal Principles</w:t>
            </w:r>
          </w:p>
          <w:p w14:paraId="1DFE5B7B" w14:textId="77777777" w:rsidR="00FE60AA" w:rsidRPr="005A2E2A" w:rsidRDefault="00FE60AA">
            <w:pPr>
              <w:pStyle w:val="Body"/>
              <w:spacing w:line="240" w:lineRule="auto"/>
              <w:jc w:val="center"/>
              <w:rPr>
                <w:color w:val="auto"/>
              </w:rPr>
            </w:pPr>
          </w:p>
        </w:tc>
        <w:tc>
          <w:tcPr>
            <w:tcW w:w="34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E5B7C" w14:textId="77777777" w:rsidR="00FE60AA" w:rsidRPr="005A2E2A" w:rsidRDefault="00FE60AA"/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FE5B7D" w14:textId="77777777" w:rsidR="00FE60AA" w:rsidRPr="005A2E2A" w:rsidRDefault="00FE60AA"/>
        </w:tc>
      </w:tr>
    </w:tbl>
    <w:p w14:paraId="1DFE5B7F" w14:textId="77777777" w:rsidR="00FE60AA" w:rsidRPr="005A2E2A" w:rsidRDefault="00FE60AA">
      <w:pPr>
        <w:pStyle w:val="Body"/>
        <w:widowControl w:val="0"/>
        <w:spacing w:line="240" w:lineRule="auto"/>
        <w:jc w:val="center"/>
        <w:rPr>
          <w:color w:val="auto"/>
        </w:rPr>
      </w:pPr>
    </w:p>
    <w:sectPr w:rsidR="00FE60AA" w:rsidRPr="005A2E2A"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FE5B88" w14:textId="77777777" w:rsidR="00AA76AB" w:rsidRDefault="00A84B96">
      <w:r>
        <w:separator/>
      </w:r>
    </w:p>
  </w:endnote>
  <w:endnote w:type="continuationSeparator" w:id="0">
    <w:p w14:paraId="1DFE5B8A" w14:textId="77777777" w:rsidR="00AA76AB" w:rsidRDefault="00A84B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E5B81" w14:textId="5FB9D14E" w:rsidR="00FE60AA" w:rsidRDefault="00A84B96">
    <w:pPr>
      <w:pStyle w:val="Body"/>
      <w:jc w:val="center"/>
    </w:pPr>
    <w:r>
      <w:t xml:space="preserve">© </w:t>
    </w:r>
    <w:r>
      <w:rPr>
        <w:lang w:val="en-US"/>
      </w:rPr>
      <w:t>20</w:t>
    </w:r>
    <w:r w:rsidR="00D511E7">
      <w:rPr>
        <w:lang w:val="en-US"/>
      </w:rPr>
      <w:t>20</w:t>
    </w:r>
    <w:r>
      <w:rPr>
        <w:lang w:val="en-US"/>
      </w:rPr>
      <w:t>. Grand Canyon University. All Rights Reserved.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E5B83" w14:textId="2B4857F6" w:rsidR="00FE60AA" w:rsidRDefault="00A84B96">
    <w:pPr>
      <w:pStyle w:val="Body"/>
      <w:jc w:val="center"/>
    </w:pPr>
    <w:r>
      <w:t xml:space="preserve">© </w:t>
    </w:r>
    <w:r>
      <w:rPr>
        <w:lang w:val="en-US"/>
      </w:rPr>
      <w:t>20</w:t>
    </w:r>
    <w:r w:rsidR="00D511E7">
      <w:rPr>
        <w:lang w:val="en-US"/>
      </w:rPr>
      <w:t>20</w:t>
    </w:r>
    <w:r>
      <w:rPr>
        <w:lang w:val="en-US"/>
      </w:rPr>
      <w:t>. Grand Canyon University. All Rights Reserved.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DFE5B84" w14:textId="77777777" w:rsidR="00AA76AB" w:rsidRDefault="00A84B96">
      <w:r>
        <w:separator/>
      </w:r>
    </w:p>
  </w:footnote>
  <w:footnote w:type="continuationSeparator" w:id="0">
    <w:p w14:paraId="1DFE5B86" w14:textId="77777777" w:rsidR="00AA76AB" w:rsidRDefault="00A84B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FE5B82" w14:textId="77777777" w:rsidR="00FE60AA" w:rsidRDefault="00A84B96">
    <w:pPr>
      <w:pStyle w:val="Header"/>
      <w:tabs>
        <w:tab w:val="clear" w:pos="9360"/>
        <w:tab w:val="right" w:pos="9340"/>
      </w:tabs>
    </w:pPr>
    <w:r>
      <w:rPr>
        <w:noProof/>
      </w:rPr>
      <w:drawing>
        <wp:inline distT="0" distB="0" distL="0" distR="0" wp14:anchorId="1DFE5B84" wp14:editId="1DFE5B85">
          <wp:extent cx="3067050" cy="688890"/>
          <wp:effectExtent l="0" t="0" r="0" b="0"/>
          <wp:docPr id="1073741825" name="officeArt object" descr="cid:D7D4B297-EEAE-4174-AD01-F87097282051@canyon.com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cid:D7D4B297-EEAE-4174-AD01-F87097282051@canyon.com" descr="cid:D7D4B297-EEAE-4174-AD01-F87097282051@canyon.com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67050" cy="688890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60AA"/>
    <w:rsid w:val="001D63D8"/>
    <w:rsid w:val="003C7328"/>
    <w:rsid w:val="005A2E2A"/>
    <w:rsid w:val="008C5CF3"/>
    <w:rsid w:val="00A84B96"/>
    <w:rsid w:val="00AA76AB"/>
    <w:rsid w:val="00CD0DD3"/>
    <w:rsid w:val="00D511E7"/>
    <w:rsid w:val="00DE77E0"/>
    <w:rsid w:val="00F35A8E"/>
    <w:rsid w:val="00FB5BA7"/>
    <w:rsid w:val="00FE6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FE5B3B"/>
  <w15:docId w15:val="{6B561A6A-ACA2-436F-A787-2D16D4379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paragraph" w:customStyle="1" w:styleId="Body">
    <w:name w:val="Body"/>
    <w:pPr>
      <w:spacing w:line="276" w:lineRule="auto"/>
    </w:pPr>
    <w:rPr>
      <w:rFonts w:cs="Arial Unicode MS"/>
      <w:color w:val="000000"/>
      <w:sz w:val="24"/>
      <w:szCs w:val="24"/>
      <w:u w:color="000000"/>
      <w:lang w:val="de-DE"/>
    </w:rPr>
  </w:style>
  <w:style w:type="paragraph" w:styleId="Header">
    <w:name w:val="header"/>
    <w:pPr>
      <w:tabs>
        <w:tab w:val="center" w:pos="4680"/>
        <w:tab w:val="right" w:pos="9360"/>
      </w:tabs>
    </w:pPr>
    <w:rPr>
      <w:rFonts w:eastAsia="Times New Roman"/>
      <w:color w:val="000000"/>
      <w:sz w:val="24"/>
      <w:szCs w:val="24"/>
      <w:u w:color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5B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5BA7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FB5BA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B5B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1D7BF13958C64483E7E107A08507EA" ma:contentTypeVersion="3698" ma:contentTypeDescription="Create a new document." ma:contentTypeScope="" ma:versionID="6b94ada1b72bf190a09154ed93d0560f">
  <xsd:schema xmlns:xsd="http://www.w3.org/2001/XMLSchema" xmlns:xs="http://www.w3.org/2001/XMLSchema" xmlns:p="http://schemas.microsoft.com/office/2006/metadata/properties" xmlns:ns1="http://schemas.microsoft.com/sharepoint/v3" xmlns:ns2="b457ba54-12e9-41a3-ab87-ffd5bc645430" targetNamespace="http://schemas.microsoft.com/office/2006/metadata/properties" ma:root="true" ma:fieldsID="7f8121a6f527224b7e8df51315020d65" ns1:_="" ns2:_="">
    <xsd:import namespace="http://schemas.microsoft.com/sharepoint/v3"/>
    <xsd:import namespace="b457ba54-12e9-41a3-ab87-ffd5bc64543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457ba54-12e9-41a3-ab87-ffd5bc6454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7F79AE8-3A8C-4C45-8FBC-091A61181314}">
  <ds:schemaRefs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96EA2D2-05A3-4080-A4A9-795501FE37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3659EB9-1FC0-42EA-A06D-7D7254D456A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175</Words>
  <Characters>1003</Characters>
  <Application>Microsoft Office Word</Application>
  <DocSecurity>0</DocSecurity>
  <Lines>8</Lines>
  <Paragraphs>2</Paragraphs>
  <ScaleCrop>false</ScaleCrop>
  <Company>Grand Canyon University</Company>
  <LinksUpToDate>false</LinksUpToDate>
  <CharactersWithSpaces>1176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keywords/>
  <cp:lastModifiedBy>Joan Beckner</cp:lastModifiedBy>
  <cp:revision>11</cp:revision>
  <dcterms:created xsi:type="dcterms:W3CDTF">2017-08-17T21:05:00Z</dcterms:created>
  <dcterms:modified xsi:type="dcterms:W3CDTF">2020-05-05T23:32:00Z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0x010100911D7BF13958C64483E7E107A08507EA</vt:lpwstr>
  </property>
  <property fmtid="{D5CDD505-2E9C-101B-9397-08002B2CF9AE}" pid="3" name="DocumentDepartment">
    <vt:lpwstr>3;#Academic Program and Course Development|59abafec-cbf5-4238-a796-a3b74278f4db</vt:lpwstr>
  </property>
  <property fmtid="{D5CDD505-2E9C-101B-9397-08002B2CF9AE}" pid="4" name="TaxKeyword">
    <vt:lpwstr/>
  </property>
  <property fmtid="{D5CDD505-2E9C-101B-9397-08002B2CF9AE}" pid="5" name="DocumentBusinessValue">
    <vt:lpwstr>1;#Normal|581d4866-74cc-43f1-bef1-bb304cbfeaa5</vt:lpwstr>
  </property>
  <property fmtid="{D5CDD505-2E9C-101B-9397-08002B2CF9AE}" pid="6" name="SecurityClassification">
    <vt:lpwstr>2;#Internal|98311b30-b9e9-4d4f-9f64-0688c0d4a234</vt:lpwstr>
  </property>
  <property fmtid="{D5CDD505-2E9C-101B-9397-08002B2CF9AE}" pid="7" name="DocumentStatus">
    <vt:lpwstr/>
  </property>
  <property fmtid="{D5CDD505-2E9C-101B-9397-08002B2CF9AE}" pid="8" name="DocumentCategory">
    <vt:lpwstr/>
  </property>
  <property fmtid="{D5CDD505-2E9C-101B-9397-08002B2CF9AE}" pid="9" name="DocumentSubject">
    <vt:lpwstr/>
  </property>
  <property fmtid="{D5CDD505-2E9C-101B-9397-08002B2CF9AE}" pid="10" name="DocumentType">
    <vt:lpwstr/>
  </property>
  <property fmtid="{D5CDD505-2E9C-101B-9397-08002B2CF9AE}" pid="11" name="Order">
    <vt:r8>14707200</vt:r8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</Properties>
</file>