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906F9D" w14:textId="77777777" w:rsidR="00575F0D" w:rsidRDefault="00575F0D">
      <w:pPr>
        <w:rPr>
          <w:b/>
          <w:bCs/>
        </w:rPr>
      </w:pPr>
    </w:p>
    <w:p w14:paraId="26169E12" w14:textId="77777777" w:rsidR="00575F0D" w:rsidRDefault="00575F0D">
      <w:pPr>
        <w:rPr>
          <w:b/>
          <w:bCs/>
        </w:rPr>
      </w:pPr>
    </w:p>
    <w:p w14:paraId="4CBAEFAE" w14:textId="77777777" w:rsidR="00575F0D" w:rsidRDefault="00575F0D">
      <w:pPr>
        <w:rPr>
          <w:b/>
          <w:bCs/>
        </w:rPr>
      </w:pPr>
    </w:p>
    <w:p w14:paraId="3A89C991" w14:textId="77777777" w:rsidR="00575F0D" w:rsidRDefault="00575F0D">
      <w:pPr>
        <w:rPr>
          <w:b/>
          <w:bCs/>
        </w:rPr>
      </w:pPr>
    </w:p>
    <w:p w14:paraId="530693F8" w14:textId="77777777" w:rsidR="00575F0D" w:rsidRDefault="00575F0D">
      <w:pPr>
        <w:rPr>
          <w:b/>
          <w:bCs/>
        </w:rPr>
      </w:pPr>
    </w:p>
    <w:p w14:paraId="3E677832" w14:textId="77777777" w:rsidR="00575F0D" w:rsidRDefault="00575F0D">
      <w:pPr>
        <w:rPr>
          <w:b/>
          <w:bCs/>
        </w:rPr>
      </w:pPr>
    </w:p>
    <w:p w14:paraId="227AED9C" w14:textId="77777777" w:rsidR="00575F0D" w:rsidRDefault="00575F0D">
      <w:pPr>
        <w:rPr>
          <w:b/>
          <w:bCs/>
        </w:rPr>
      </w:pPr>
    </w:p>
    <w:p w14:paraId="60FA2C2C" w14:textId="77777777" w:rsidR="00575F0D" w:rsidRDefault="00575F0D">
      <w:pPr>
        <w:rPr>
          <w:b/>
          <w:bCs/>
        </w:rPr>
      </w:pPr>
    </w:p>
    <w:p w14:paraId="787D7E28" w14:textId="77777777" w:rsidR="00575F0D" w:rsidRPr="00575F0D" w:rsidRDefault="004E70C0" w:rsidP="00575F0D">
      <w:pPr>
        <w:jc w:val="center"/>
        <w:rPr>
          <w:rFonts w:ascii="Times New Roman" w:hAnsi="Times New Roman" w:cs="Times New Roman"/>
          <w:b/>
          <w:bCs/>
          <w:sz w:val="24"/>
          <w:szCs w:val="24"/>
        </w:rPr>
      </w:pPr>
      <w:r>
        <w:rPr>
          <w:rFonts w:ascii="Times New Roman" w:hAnsi="Times New Roman" w:cs="Times New Roman"/>
          <w:b/>
          <w:bCs/>
          <w:sz w:val="24"/>
          <w:szCs w:val="24"/>
        </w:rPr>
        <w:t>Carpal Tunnel Syndrome</w:t>
      </w:r>
    </w:p>
    <w:p w14:paraId="015DAD23" w14:textId="77777777" w:rsidR="00575F0D" w:rsidRPr="00CA5D40" w:rsidRDefault="004E70C0" w:rsidP="00575F0D">
      <w:pPr>
        <w:jc w:val="center"/>
        <w:rPr>
          <w:rFonts w:ascii="Times New Roman" w:hAnsi="Times New Roman" w:cs="Times New Roman"/>
          <w:sz w:val="24"/>
          <w:szCs w:val="24"/>
        </w:rPr>
      </w:pPr>
      <w:r w:rsidRPr="00CA5D40">
        <w:rPr>
          <w:rFonts w:ascii="Times New Roman" w:hAnsi="Times New Roman" w:cs="Times New Roman"/>
          <w:sz w:val="24"/>
          <w:szCs w:val="24"/>
        </w:rPr>
        <w:t>Student’s Name</w:t>
      </w:r>
    </w:p>
    <w:p w14:paraId="01C7BAB6" w14:textId="77777777" w:rsidR="00575F0D" w:rsidRPr="00CA5D40" w:rsidRDefault="004E70C0" w:rsidP="00575F0D">
      <w:pPr>
        <w:jc w:val="center"/>
        <w:rPr>
          <w:rFonts w:ascii="Times New Roman" w:hAnsi="Times New Roman" w:cs="Times New Roman"/>
          <w:sz w:val="24"/>
          <w:szCs w:val="24"/>
        </w:rPr>
      </w:pPr>
      <w:r w:rsidRPr="00CA5D40">
        <w:rPr>
          <w:rFonts w:ascii="Times New Roman" w:hAnsi="Times New Roman" w:cs="Times New Roman"/>
          <w:sz w:val="24"/>
          <w:szCs w:val="24"/>
        </w:rPr>
        <w:t>Institution</w:t>
      </w:r>
      <w:r>
        <w:rPr>
          <w:rFonts w:ascii="Times New Roman" w:hAnsi="Times New Roman" w:cs="Times New Roman"/>
          <w:sz w:val="24"/>
          <w:szCs w:val="24"/>
        </w:rPr>
        <w:t>al</w:t>
      </w:r>
      <w:r w:rsidRPr="00CA5D40">
        <w:rPr>
          <w:rFonts w:ascii="Times New Roman" w:hAnsi="Times New Roman" w:cs="Times New Roman"/>
          <w:sz w:val="24"/>
          <w:szCs w:val="24"/>
        </w:rPr>
        <w:t xml:space="preserve"> Affiliation</w:t>
      </w:r>
    </w:p>
    <w:p w14:paraId="665284EC" w14:textId="77777777" w:rsidR="00575F0D" w:rsidRDefault="004E70C0" w:rsidP="00575F0D">
      <w:pPr>
        <w:jc w:val="center"/>
        <w:rPr>
          <w:b/>
          <w:bCs/>
        </w:rPr>
      </w:pPr>
      <w:r w:rsidRPr="00CA5D40">
        <w:rPr>
          <w:rFonts w:ascii="Times New Roman" w:hAnsi="Times New Roman" w:cs="Times New Roman"/>
          <w:sz w:val="24"/>
          <w:szCs w:val="24"/>
        </w:rPr>
        <w:t>Date</w:t>
      </w:r>
    </w:p>
    <w:p w14:paraId="06C24EE7" w14:textId="77777777" w:rsidR="00575F0D" w:rsidRDefault="00575F0D">
      <w:pPr>
        <w:rPr>
          <w:b/>
          <w:bCs/>
        </w:rPr>
      </w:pPr>
    </w:p>
    <w:p w14:paraId="6759B421" w14:textId="77777777" w:rsidR="00575F0D" w:rsidRDefault="00575F0D">
      <w:pPr>
        <w:rPr>
          <w:b/>
          <w:bCs/>
        </w:rPr>
      </w:pPr>
    </w:p>
    <w:p w14:paraId="77604960" w14:textId="77777777" w:rsidR="00575F0D" w:rsidRDefault="00575F0D">
      <w:pPr>
        <w:rPr>
          <w:b/>
          <w:bCs/>
        </w:rPr>
      </w:pPr>
    </w:p>
    <w:p w14:paraId="43EBDD96" w14:textId="77777777" w:rsidR="00575F0D" w:rsidRDefault="00575F0D">
      <w:pPr>
        <w:rPr>
          <w:b/>
          <w:bCs/>
        </w:rPr>
      </w:pPr>
    </w:p>
    <w:p w14:paraId="4AA0AB1E" w14:textId="77777777" w:rsidR="00575F0D" w:rsidRDefault="00575F0D">
      <w:pPr>
        <w:rPr>
          <w:b/>
          <w:bCs/>
        </w:rPr>
      </w:pPr>
    </w:p>
    <w:p w14:paraId="10D17FC2" w14:textId="77777777" w:rsidR="00575F0D" w:rsidRDefault="00575F0D">
      <w:pPr>
        <w:rPr>
          <w:b/>
          <w:bCs/>
        </w:rPr>
      </w:pPr>
    </w:p>
    <w:p w14:paraId="501EF17E" w14:textId="77777777" w:rsidR="00575F0D" w:rsidRDefault="00575F0D">
      <w:pPr>
        <w:rPr>
          <w:b/>
          <w:bCs/>
        </w:rPr>
      </w:pPr>
    </w:p>
    <w:p w14:paraId="4E235B92" w14:textId="77777777" w:rsidR="00575F0D" w:rsidRDefault="00575F0D">
      <w:pPr>
        <w:rPr>
          <w:b/>
          <w:bCs/>
        </w:rPr>
      </w:pPr>
    </w:p>
    <w:p w14:paraId="3D7CBFFD" w14:textId="77777777" w:rsidR="00575F0D" w:rsidRDefault="00575F0D">
      <w:pPr>
        <w:rPr>
          <w:b/>
          <w:bCs/>
        </w:rPr>
      </w:pPr>
    </w:p>
    <w:p w14:paraId="75DE1F7A" w14:textId="77777777" w:rsidR="00575F0D" w:rsidRDefault="00575F0D">
      <w:pPr>
        <w:rPr>
          <w:b/>
          <w:bCs/>
        </w:rPr>
      </w:pPr>
    </w:p>
    <w:p w14:paraId="656A91F7" w14:textId="77777777" w:rsidR="00575F0D" w:rsidRDefault="00575F0D">
      <w:pPr>
        <w:rPr>
          <w:b/>
          <w:bCs/>
        </w:rPr>
      </w:pPr>
    </w:p>
    <w:p w14:paraId="446E9A4E" w14:textId="77777777" w:rsidR="00575F0D" w:rsidRDefault="00575F0D">
      <w:pPr>
        <w:rPr>
          <w:b/>
          <w:bCs/>
        </w:rPr>
      </w:pPr>
    </w:p>
    <w:p w14:paraId="6222798D" w14:textId="77777777" w:rsidR="00575F0D" w:rsidRDefault="00575F0D">
      <w:pPr>
        <w:rPr>
          <w:b/>
          <w:bCs/>
        </w:rPr>
      </w:pPr>
    </w:p>
    <w:p w14:paraId="5F9E008B" w14:textId="77777777" w:rsidR="00575F0D" w:rsidRDefault="00575F0D">
      <w:pPr>
        <w:rPr>
          <w:b/>
          <w:bCs/>
        </w:rPr>
      </w:pPr>
    </w:p>
    <w:p w14:paraId="4B87CB08" w14:textId="77777777" w:rsidR="00575F0D" w:rsidRDefault="00575F0D">
      <w:pPr>
        <w:rPr>
          <w:b/>
          <w:bCs/>
        </w:rPr>
      </w:pPr>
    </w:p>
    <w:p w14:paraId="3384D962" w14:textId="77777777" w:rsidR="00575F0D" w:rsidRDefault="00575F0D">
      <w:pPr>
        <w:rPr>
          <w:b/>
          <w:bCs/>
        </w:rPr>
      </w:pPr>
    </w:p>
    <w:p w14:paraId="0A945886" w14:textId="77777777" w:rsidR="00575F0D" w:rsidRDefault="00575F0D">
      <w:pPr>
        <w:rPr>
          <w:b/>
          <w:bCs/>
        </w:rPr>
      </w:pPr>
    </w:p>
    <w:p w14:paraId="7814D0F0" w14:textId="77777777" w:rsidR="00575F0D" w:rsidRDefault="00575F0D">
      <w:pPr>
        <w:rPr>
          <w:b/>
          <w:bCs/>
        </w:rPr>
      </w:pPr>
    </w:p>
    <w:p w14:paraId="51A0733C" w14:textId="77777777" w:rsidR="00575F0D" w:rsidRDefault="00575F0D">
      <w:pPr>
        <w:rPr>
          <w:b/>
          <w:bCs/>
        </w:rPr>
      </w:pPr>
    </w:p>
    <w:p w14:paraId="13719BF1" w14:textId="77777777" w:rsidR="00575F0D"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lastRenderedPageBreak/>
        <w:t>Carpal Tunnel Syndrome</w:t>
      </w:r>
    </w:p>
    <w:p w14:paraId="0878298C" w14:textId="77777777" w:rsidR="00486882"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Pathophysiology</w:t>
      </w:r>
    </w:p>
    <w:p w14:paraId="4AEF314B" w14:textId="77777777" w:rsidR="00593944"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Carpal tunnel syndrome</w:t>
      </w:r>
      <w:r w:rsidR="00D6374F" w:rsidRPr="00575F0D">
        <w:rPr>
          <w:rFonts w:ascii="Times New Roman" w:hAnsi="Times New Roman" w:cs="Times New Roman"/>
          <w:sz w:val="24"/>
          <w:szCs w:val="24"/>
        </w:rPr>
        <w:t xml:space="preserve"> (CTS)</w:t>
      </w:r>
      <w:r w:rsidRPr="00575F0D">
        <w:rPr>
          <w:rFonts w:ascii="Times New Roman" w:hAnsi="Times New Roman" w:cs="Times New Roman"/>
          <w:sz w:val="24"/>
          <w:szCs w:val="24"/>
        </w:rPr>
        <w:t xml:space="preserve"> is a condition associated with compressive neuropathy of the wrist's median nerve. The Carpal tunnel is at the palm base and bounded on the three sides of the carpal bones and transverse carpal ligament on the anterior side. Inside the carpal, there is a median nerve, synovial sheath, and flexor tendons. Carpal tunnel is the common snare neuropathy linked to repetitive, forceful movements or vibrations that exposes a person risk of the condition. This condition is the most common neuropathy of the median nerve, which accounts for 90%</w:t>
      </w:r>
      <w:r w:rsidR="006268DB" w:rsidRPr="00575F0D">
        <w:rPr>
          <w:rFonts w:ascii="Times New Roman" w:hAnsi="Times New Roman" w:cs="Times New Roman"/>
          <w:sz w:val="24"/>
          <w:szCs w:val="24"/>
        </w:rPr>
        <w:t xml:space="preserve"> (Aboong, 2015)</w:t>
      </w:r>
      <w:r w:rsidRPr="00575F0D">
        <w:rPr>
          <w:rFonts w:ascii="Times New Roman" w:hAnsi="Times New Roman" w:cs="Times New Roman"/>
          <w:sz w:val="24"/>
          <w:szCs w:val="24"/>
        </w:rPr>
        <w:t xml:space="preserve">. This prevalence is linked to the combined phenomena of traction and compression. The nerves' reduction leads to intraneural microcirculation disorders, lesions in the axon, and myelin sheath, which leads to alterations of the connective tissues. The passage influences the nerves' entrapment through the compartments, which is too tight, leading to the altered functioning and damage of the nerves in the compression site. The entrapment of the median nerve is the most common occurrence. </w:t>
      </w:r>
      <w:r w:rsidR="00BD4B9F" w:rsidRPr="00575F0D">
        <w:rPr>
          <w:rFonts w:ascii="Times New Roman" w:hAnsi="Times New Roman" w:cs="Times New Roman"/>
          <w:sz w:val="24"/>
          <w:szCs w:val="24"/>
        </w:rPr>
        <w:t xml:space="preserve">Scholars have suggested </w:t>
      </w:r>
      <w:r w:rsidR="00D6374F" w:rsidRPr="00575F0D">
        <w:rPr>
          <w:rFonts w:ascii="Times New Roman" w:hAnsi="Times New Roman" w:cs="Times New Roman"/>
          <w:sz w:val="24"/>
          <w:szCs w:val="24"/>
        </w:rPr>
        <w:t xml:space="preserve">a combination of various mechanisms that influence the pathophysiologic process of CTS. </w:t>
      </w:r>
    </w:p>
    <w:p w14:paraId="04DE8DCB" w14:textId="5542F16C" w:rsidR="00486882" w:rsidRPr="00575F0D" w:rsidRDefault="00D6374F" w:rsidP="00575F0D">
      <w:pPr>
        <w:spacing w:after="0" w:line="480" w:lineRule="auto"/>
        <w:ind w:firstLine="851"/>
        <w:rPr>
          <w:rFonts w:ascii="Times New Roman" w:hAnsi="Times New Roman" w:cs="Times New Roman"/>
          <w:sz w:val="24"/>
          <w:szCs w:val="24"/>
        </w:rPr>
      </w:pPr>
      <w:bookmarkStart w:id="0" w:name="_GoBack"/>
      <w:bookmarkEnd w:id="0"/>
      <w:r w:rsidRPr="00575F0D">
        <w:rPr>
          <w:rFonts w:ascii="Times New Roman" w:hAnsi="Times New Roman" w:cs="Times New Roman"/>
          <w:sz w:val="24"/>
          <w:szCs w:val="24"/>
        </w:rPr>
        <w:t>The interacting agents include synovial hypertrophy, median nerve compression, compression of the connective tissues, microcirculation injury, and increased tunnel pressure. In diabetic patients, CTS's presence is linked to internal factors, which include deficiency of neurotrophic factors (including nerve growth factors) and hyperglycemia</w:t>
      </w:r>
      <w:r w:rsidR="006268DB" w:rsidRPr="00575F0D">
        <w:rPr>
          <w:rFonts w:ascii="Times New Roman" w:hAnsi="Times New Roman" w:cs="Times New Roman"/>
          <w:sz w:val="24"/>
          <w:szCs w:val="24"/>
        </w:rPr>
        <w:t xml:space="preserve"> (Aboong, 2015)</w:t>
      </w:r>
      <w:r w:rsidRPr="00575F0D">
        <w:rPr>
          <w:rFonts w:ascii="Times New Roman" w:hAnsi="Times New Roman" w:cs="Times New Roman"/>
          <w:sz w:val="24"/>
          <w:szCs w:val="24"/>
        </w:rPr>
        <w:t>. In increased carpal tunnel pressure, there are two nerve compression areas; the proximal position of the carpal tunnel is influenced by the wrist flexion and change in thickness and rigidity between the proximal portion of transverse carpal ligament and antebrachial fascia. The second mechanism linked to increased pressure is the narrowing of the part at the hamate hook. Normal pressure in the carpal tunnel is 2010mmHg</w:t>
      </w:r>
      <w:r w:rsidR="00BC2C46">
        <w:rPr>
          <w:rFonts w:ascii="Times New Roman" w:hAnsi="Times New Roman" w:cs="Times New Roman"/>
          <w:sz w:val="24"/>
          <w:szCs w:val="24"/>
        </w:rPr>
        <w:t xml:space="preserve"> (</w:t>
      </w:r>
      <w:r w:rsidR="00BC2C46" w:rsidRPr="00575F0D">
        <w:rPr>
          <w:rFonts w:ascii="Times New Roman" w:hAnsi="Times New Roman" w:cs="Times New Roman"/>
          <w:sz w:val="24"/>
          <w:szCs w:val="24"/>
        </w:rPr>
        <w:t>Aboong, 2015</w:t>
      </w:r>
      <w:r w:rsidR="00BC2C46">
        <w:rPr>
          <w:rFonts w:ascii="Times New Roman" w:hAnsi="Times New Roman" w:cs="Times New Roman"/>
          <w:sz w:val="24"/>
          <w:szCs w:val="24"/>
        </w:rPr>
        <w:t>)</w:t>
      </w:r>
      <w:r w:rsidRPr="00575F0D">
        <w:rPr>
          <w:rFonts w:ascii="Times New Roman" w:hAnsi="Times New Roman" w:cs="Times New Roman"/>
          <w:sz w:val="24"/>
          <w:szCs w:val="24"/>
        </w:rPr>
        <w:t xml:space="preserve">. Changes in fluid </w:t>
      </w:r>
      <w:r w:rsidRPr="00575F0D">
        <w:rPr>
          <w:rFonts w:ascii="Times New Roman" w:hAnsi="Times New Roman" w:cs="Times New Roman"/>
          <w:sz w:val="24"/>
          <w:szCs w:val="24"/>
        </w:rPr>
        <w:lastRenderedPageBreak/>
        <w:t>pressure enhance wrist movement, which increases the pressure ten times, and the flexion increases it eight times. The ligaments are affected by the pathologic changes, which also increases pressure as the alteration of flexibility, and connective tissues are initiated.</w:t>
      </w:r>
    </w:p>
    <w:p w14:paraId="68F2657B" w14:textId="77777777" w:rsidR="00486882" w:rsidRPr="00575F0D" w:rsidRDefault="00D6374F"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 xml:space="preserve">In microcirculation injury, </w:t>
      </w:r>
      <w:r w:rsidR="00331657" w:rsidRPr="00575F0D">
        <w:rPr>
          <w:rFonts w:ascii="Times New Roman" w:hAnsi="Times New Roman" w:cs="Times New Roman"/>
          <w:sz w:val="24"/>
          <w:szCs w:val="24"/>
        </w:rPr>
        <w:t>there is a blood-nerve barrier and ischemic vascular injury, which influences CTS occurrence. Increased pressure in the tunnel leads to the breakdown of vasculature in the barrier leading to the accumulation of inflammatory cells and proteins. This process can influence miniature closed compartment syndrome through increasing the permeability leading to increased endoneurial pressure and interfascicular edema</w:t>
      </w:r>
      <w:r w:rsidR="006268DB" w:rsidRPr="00575F0D">
        <w:rPr>
          <w:rFonts w:ascii="Times New Roman" w:hAnsi="Times New Roman" w:cs="Times New Roman"/>
          <w:sz w:val="24"/>
          <w:szCs w:val="24"/>
        </w:rPr>
        <w:t xml:space="preserve"> (Aboong, 2015)</w:t>
      </w:r>
      <w:r w:rsidR="00331657" w:rsidRPr="00575F0D">
        <w:rPr>
          <w:rFonts w:ascii="Times New Roman" w:hAnsi="Times New Roman" w:cs="Times New Roman"/>
          <w:sz w:val="24"/>
          <w:szCs w:val="24"/>
        </w:rPr>
        <w:t xml:space="preserve">.  </w:t>
      </w:r>
      <w:r w:rsidR="006268DB" w:rsidRPr="00575F0D">
        <w:rPr>
          <w:rFonts w:ascii="Times New Roman" w:hAnsi="Times New Roman" w:cs="Times New Roman"/>
          <w:sz w:val="24"/>
          <w:szCs w:val="24"/>
        </w:rPr>
        <w:t>Also, the connective tissue alterations enhance the development of the disease. The change in the nerve fiber layers (endoneurium, perineurium, epineurium, and mesomerism) influences the condition's development. In epineural adhesions and compression, the wrist's mobility is hindered, leading to the development of lesions following repeated traction of the nerve endings in the wrist movements. The chronic rise in pressure enhances gradient pressure, which redistributes to parts of the nerve that are not affected.</w:t>
      </w:r>
    </w:p>
    <w:p w14:paraId="362C1D7D" w14:textId="77777777" w:rsidR="009F4945"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Plan</w:t>
      </w:r>
    </w:p>
    <w:p w14:paraId="55741D46" w14:textId="77777777" w:rsidR="009F4945"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Differential Diagnosis</w:t>
      </w:r>
    </w:p>
    <w:p w14:paraId="6293F09A" w14:textId="77777777" w:rsidR="009F4945"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Wrist Arthritis</w:t>
      </w:r>
    </w:p>
    <w:p w14:paraId="60822C8B" w14:textId="77777777" w:rsidR="009F4945"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 xml:space="preserve">Arthritis of the wrist involves the inflammation of the wrist joint. Different types of arthritis affect the wrist, which includes osteoarthritis, rheumatoid arthritis, and posttraumatic arthritis. Osteoarthritis occurs when the wrist joint cartilages wear out (Dean et al., 2018). Rheumatoid arthritis is an autoimmune condition that leads to damage to the joint. Posttraumatic arthritis is linked to the presence of injury to the wrist joint.  The disease presents with swelling, pain, weakness of the joint, and reduction in motion range. This condition is not the patient's actual diagnosis since the patient presents with pain while other clinical manifestations such as swelling and weakness are not present. However, this </w:t>
      </w:r>
      <w:r w:rsidRPr="00575F0D">
        <w:rPr>
          <w:rFonts w:ascii="Times New Roman" w:hAnsi="Times New Roman" w:cs="Times New Roman"/>
          <w:sz w:val="24"/>
          <w:szCs w:val="24"/>
        </w:rPr>
        <w:lastRenderedPageBreak/>
        <w:t>condition should be ruled out through diagnostic tests to ensure that it is excluded with evidence in the patient's diagnosis.</w:t>
      </w:r>
    </w:p>
    <w:p w14:paraId="7CF3C036" w14:textId="77777777" w:rsidR="006E0ED9"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Cervical Radiculopathy (C6)</w:t>
      </w:r>
    </w:p>
    <w:p w14:paraId="2E21D127" w14:textId="39371A76" w:rsidR="0007311C" w:rsidRPr="00575F0D" w:rsidRDefault="00BC2C46" w:rsidP="00575F0D">
      <w:pPr>
        <w:spacing w:after="0" w:line="480" w:lineRule="auto"/>
        <w:ind w:firstLine="851"/>
        <w:rPr>
          <w:rFonts w:ascii="Times New Roman" w:hAnsi="Times New Roman" w:cs="Times New Roman"/>
          <w:sz w:val="24"/>
          <w:szCs w:val="24"/>
        </w:rPr>
      </w:pPr>
      <w:r>
        <w:rPr>
          <w:rFonts w:ascii="Times New Roman" w:hAnsi="Times New Roman" w:cs="Times New Roman"/>
          <w:bCs/>
          <w:sz w:val="24"/>
          <w:szCs w:val="24"/>
        </w:rPr>
        <w:t>Cervical r</w:t>
      </w:r>
      <w:r w:rsidRPr="00BC2C46">
        <w:rPr>
          <w:rFonts w:ascii="Times New Roman" w:hAnsi="Times New Roman" w:cs="Times New Roman"/>
          <w:bCs/>
          <w:sz w:val="24"/>
          <w:szCs w:val="24"/>
        </w:rPr>
        <w:t>adiculopathy</w:t>
      </w:r>
      <w:r w:rsidR="004E70C0" w:rsidRPr="00575F0D">
        <w:rPr>
          <w:rFonts w:ascii="Times New Roman" w:hAnsi="Times New Roman" w:cs="Times New Roman"/>
          <w:sz w:val="24"/>
          <w:szCs w:val="24"/>
        </w:rPr>
        <w:t xml:space="preserve"> is a condition that occurs due to the nerve compression in the herniated disk or arthritic spurs of th</w:t>
      </w:r>
      <w:r>
        <w:rPr>
          <w:rFonts w:ascii="Times New Roman" w:hAnsi="Times New Roman" w:cs="Times New Roman"/>
          <w:sz w:val="24"/>
          <w:szCs w:val="24"/>
        </w:rPr>
        <w:t>e bone. The disease produces a</w:t>
      </w:r>
      <w:r w:rsidR="004E70C0" w:rsidRPr="00575F0D">
        <w:rPr>
          <w:rFonts w:ascii="Times New Roman" w:hAnsi="Times New Roman" w:cs="Times New Roman"/>
          <w:sz w:val="24"/>
          <w:szCs w:val="24"/>
        </w:rPr>
        <w:t xml:space="preserve"> radiating arm and neck pain or causes motor dysfunction, sensory dysfunctions, and numbness in the upper extremities and neck. Th</w:t>
      </w:r>
      <w:r>
        <w:rPr>
          <w:rFonts w:ascii="Times New Roman" w:hAnsi="Times New Roman" w:cs="Times New Roman"/>
          <w:sz w:val="24"/>
          <w:szCs w:val="24"/>
        </w:rPr>
        <w:t>e condition is influenced by</w:t>
      </w:r>
      <w:r w:rsidR="004E70C0" w:rsidRPr="00575F0D">
        <w:rPr>
          <w:rFonts w:ascii="Times New Roman" w:hAnsi="Times New Roman" w:cs="Times New Roman"/>
          <w:sz w:val="24"/>
          <w:szCs w:val="24"/>
        </w:rPr>
        <w:t xml:space="preserve"> pathologies, which leads to clinical probl</w:t>
      </w:r>
      <w:r>
        <w:rPr>
          <w:rFonts w:ascii="Times New Roman" w:hAnsi="Times New Roman" w:cs="Times New Roman"/>
          <w:sz w:val="24"/>
          <w:szCs w:val="24"/>
        </w:rPr>
        <w:t xml:space="preserve">ems on the nerve roots (Caridi et al., </w:t>
      </w:r>
      <w:r w:rsidR="004E70C0" w:rsidRPr="00575F0D">
        <w:rPr>
          <w:rFonts w:ascii="Times New Roman" w:hAnsi="Times New Roman" w:cs="Times New Roman"/>
          <w:sz w:val="24"/>
          <w:szCs w:val="24"/>
        </w:rPr>
        <w:t>2011). The pathologies include lesions, traction, irritation, and compression of the nerve roots caused by degenerative spondylitis changes, foraminal narrowing, and herniated discs. Most of the time, the condition occurs unilaterally. Therefore, this condition is excluded from the actual diagnosis of the patient because of its presenting features. Radiating arm pain, motor dysfunction, and numbness are not presented in the patient's complaints, which enhances the exclusion of the condition in the actual diagnosis. However, the disease has to be evaluated to ensure that the condition is confirmed to be absent.</w:t>
      </w:r>
    </w:p>
    <w:p w14:paraId="6261909E" w14:textId="77777777" w:rsidR="006E0ED9"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Wrist Tendonitis</w:t>
      </w:r>
    </w:p>
    <w:p w14:paraId="53F5FA3A" w14:textId="1A62970A" w:rsidR="0007311C" w:rsidRPr="00BC2C46" w:rsidRDefault="00BC2C46" w:rsidP="00BC2C46">
      <w:pPr>
        <w:spacing w:after="0" w:line="480" w:lineRule="auto"/>
        <w:ind w:firstLine="851"/>
        <w:rPr>
          <w:rFonts w:ascii="Times New Roman" w:hAnsi="Times New Roman" w:cs="Times New Roman"/>
          <w:b/>
          <w:bCs/>
          <w:sz w:val="24"/>
          <w:szCs w:val="24"/>
        </w:rPr>
      </w:pPr>
      <w:r>
        <w:rPr>
          <w:rFonts w:ascii="Times New Roman" w:hAnsi="Times New Roman" w:cs="Times New Roman"/>
          <w:bCs/>
          <w:sz w:val="24"/>
          <w:szCs w:val="24"/>
        </w:rPr>
        <w:t>Wrist t</w:t>
      </w:r>
      <w:r w:rsidRPr="00BC2C46">
        <w:rPr>
          <w:rFonts w:ascii="Times New Roman" w:hAnsi="Times New Roman" w:cs="Times New Roman"/>
          <w:bCs/>
          <w:sz w:val="24"/>
          <w:szCs w:val="24"/>
        </w:rPr>
        <w:t>endonitis</w:t>
      </w:r>
      <w:r>
        <w:rPr>
          <w:rFonts w:ascii="Times New Roman" w:hAnsi="Times New Roman" w:cs="Times New Roman"/>
          <w:b/>
          <w:bCs/>
          <w:sz w:val="24"/>
          <w:szCs w:val="24"/>
        </w:rPr>
        <w:t xml:space="preserve"> </w:t>
      </w:r>
      <w:r w:rsidR="004E70C0" w:rsidRPr="00575F0D">
        <w:rPr>
          <w:rFonts w:ascii="Times New Roman" w:hAnsi="Times New Roman" w:cs="Times New Roman"/>
          <w:sz w:val="24"/>
          <w:szCs w:val="24"/>
        </w:rPr>
        <w:t>occurs when there is inflammation of the tendons of the wrist. The condition may affect one or more tendons. The manifestations of the disease include warmth or stiffness, swelling, and pain on the wrist. The presence of small microtears occurs when there is a repetitive injury on the wrist. When a patient is affected by this condition, the wrist</w:t>
      </w:r>
      <w:r w:rsidR="00616952">
        <w:rPr>
          <w:rFonts w:ascii="Times New Roman" w:hAnsi="Times New Roman" w:cs="Times New Roman"/>
          <w:sz w:val="24"/>
          <w:szCs w:val="24"/>
        </w:rPr>
        <w:t>’</w:t>
      </w:r>
      <w:r w:rsidR="004E70C0" w:rsidRPr="00575F0D">
        <w:rPr>
          <w:rFonts w:ascii="Times New Roman" w:hAnsi="Times New Roman" w:cs="Times New Roman"/>
          <w:sz w:val="24"/>
          <w:szCs w:val="24"/>
        </w:rPr>
        <w:t xml:space="preserve">s movement in one or more directions, rotation, and being of the hand may be painful. </w:t>
      </w:r>
      <w:r w:rsidR="00590975" w:rsidRPr="00575F0D">
        <w:rPr>
          <w:rFonts w:ascii="Times New Roman" w:hAnsi="Times New Roman" w:cs="Times New Roman"/>
          <w:sz w:val="24"/>
          <w:szCs w:val="24"/>
        </w:rPr>
        <w:t>However, research shows that the diagnosis of wrist tendonitis can be tendinosis, which involves the chronic non-inflammatory condition. The tendon degenerates</w:t>
      </w:r>
      <w:r w:rsidR="00616952">
        <w:rPr>
          <w:rFonts w:ascii="Times New Roman" w:hAnsi="Times New Roman" w:cs="Times New Roman"/>
          <w:sz w:val="24"/>
          <w:szCs w:val="24"/>
        </w:rPr>
        <w:t>’</w:t>
      </w:r>
      <w:r w:rsidR="00590975" w:rsidRPr="00575F0D">
        <w:rPr>
          <w:rFonts w:ascii="Times New Roman" w:hAnsi="Times New Roman" w:cs="Times New Roman"/>
          <w:sz w:val="24"/>
          <w:szCs w:val="24"/>
        </w:rPr>
        <w:t xml:space="preserve"> collagen fibers due to chronic overuse in the absence of time to heal (Bass, 2012). Wrist tendonitis is the </w:t>
      </w:r>
      <w:r w:rsidR="00590975" w:rsidRPr="00575F0D">
        <w:rPr>
          <w:rFonts w:ascii="Times New Roman" w:hAnsi="Times New Roman" w:cs="Times New Roman"/>
          <w:sz w:val="24"/>
          <w:szCs w:val="24"/>
        </w:rPr>
        <w:lastRenderedPageBreak/>
        <w:t>condition of the wrist, which is involved with similar symptoms to CTS. However, the presence of swelling, stiffness, and warmth excludes the patient</w:t>
      </w:r>
      <w:r w:rsidR="00616952">
        <w:rPr>
          <w:rFonts w:ascii="Times New Roman" w:hAnsi="Times New Roman" w:cs="Times New Roman"/>
          <w:sz w:val="24"/>
          <w:szCs w:val="24"/>
        </w:rPr>
        <w:t>’</w:t>
      </w:r>
      <w:r w:rsidR="00590975" w:rsidRPr="00575F0D">
        <w:rPr>
          <w:rFonts w:ascii="Times New Roman" w:hAnsi="Times New Roman" w:cs="Times New Roman"/>
          <w:sz w:val="24"/>
          <w:szCs w:val="24"/>
        </w:rPr>
        <w:t>s actual diagnosis.</w:t>
      </w:r>
    </w:p>
    <w:p w14:paraId="1E8D7470" w14:textId="77777777" w:rsidR="006E0ED9"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Diagnos</w:t>
      </w:r>
      <w:r w:rsidR="00F51DC0" w:rsidRPr="00575F0D">
        <w:rPr>
          <w:rFonts w:ascii="Times New Roman" w:hAnsi="Times New Roman" w:cs="Times New Roman"/>
          <w:b/>
          <w:bCs/>
          <w:sz w:val="24"/>
          <w:szCs w:val="24"/>
        </w:rPr>
        <w:t>is</w:t>
      </w:r>
    </w:p>
    <w:p w14:paraId="33B8BFB6" w14:textId="77777777" w:rsidR="00F51DC0"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The diagnosis of CTS is made through history, physical examination, and diagnostic tests. The different strategies used provide quality information that is reliable to ensure that confirmation of the condition is based on various evidence sources.</w:t>
      </w:r>
    </w:p>
    <w:p w14:paraId="519F667C" w14:textId="77777777" w:rsidR="00F51DC0"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History</w:t>
      </w:r>
    </w:p>
    <w:p w14:paraId="6B2B73D1" w14:textId="3455FDDB" w:rsidR="00F51DC0"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In this section, the health care provider asks the patent concerning the occurrence of the condition. This includes the chief complaint, history, medical history, surgical procedure, social history</w:t>
      </w:r>
      <w:r w:rsidR="00E86198" w:rsidRPr="00575F0D">
        <w:rPr>
          <w:rFonts w:ascii="Times New Roman" w:hAnsi="Times New Roman" w:cs="Times New Roman"/>
          <w:sz w:val="24"/>
          <w:szCs w:val="24"/>
        </w:rPr>
        <w:t>, and family history. History provides an opportunity to realize the past and present factors that influence the disease. The patient offers information to ensure that the doctor can determine the probability of the condition. The disease</w:t>
      </w:r>
      <w:r w:rsidR="00616952">
        <w:rPr>
          <w:rFonts w:ascii="Times New Roman" w:hAnsi="Times New Roman" w:cs="Times New Roman"/>
          <w:sz w:val="24"/>
          <w:szCs w:val="24"/>
        </w:rPr>
        <w:t>’</w:t>
      </w:r>
      <w:r w:rsidR="00E86198" w:rsidRPr="00575F0D">
        <w:rPr>
          <w:rFonts w:ascii="Times New Roman" w:hAnsi="Times New Roman" w:cs="Times New Roman"/>
          <w:sz w:val="24"/>
          <w:szCs w:val="24"/>
        </w:rPr>
        <w:t>s risk factors, such as injury, repetitive motion, or autoimmune disorders, provide information on the exposure to the disease.</w:t>
      </w:r>
    </w:p>
    <w:p w14:paraId="7D0711C8" w14:textId="77777777" w:rsidR="00E86198"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Physical examination</w:t>
      </w:r>
    </w:p>
    <w:p w14:paraId="13422569" w14:textId="1476ABDD" w:rsidR="00E86198"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The physical examination will involve mainly examining the strength of muscles of the hands and motion of the fingers. The wrist joint will be inspected for a range of movement. When the patient bends the wrist, and the nerve is tapped or pressed, symptoms are triggered to confirm CTS</w:t>
      </w:r>
      <w:r w:rsidR="00616952">
        <w:rPr>
          <w:rFonts w:ascii="Times New Roman" w:hAnsi="Times New Roman" w:cs="Times New Roman"/>
          <w:sz w:val="24"/>
          <w:szCs w:val="24"/>
        </w:rPr>
        <w:t>’</w:t>
      </w:r>
      <w:r w:rsidRPr="00575F0D">
        <w:rPr>
          <w:rFonts w:ascii="Times New Roman" w:hAnsi="Times New Roman" w:cs="Times New Roman"/>
          <w:sz w:val="24"/>
          <w:szCs w:val="24"/>
        </w:rPr>
        <w:t>s presence, such as numbness, tingling sensation, weakness, and pain.</w:t>
      </w:r>
    </w:p>
    <w:p w14:paraId="6BA1FB71" w14:textId="77777777" w:rsidR="00E86198" w:rsidRPr="00575F0D" w:rsidRDefault="004E70C0" w:rsidP="00616952">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Diagnostic Tests</w:t>
      </w:r>
    </w:p>
    <w:p w14:paraId="40381723" w14:textId="2BB3ACA6" w:rsidR="00E86198" w:rsidRPr="00575F0D" w:rsidRDefault="00616952" w:rsidP="00575F0D">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One of the diagnostic tests is X-rays. X-rays</w:t>
      </w:r>
      <w:r w:rsidR="004E70C0" w:rsidRPr="00575F0D">
        <w:rPr>
          <w:rFonts w:ascii="Times New Roman" w:hAnsi="Times New Roman" w:cs="Times New Roman"/>
          <w:sz w:val="24"/>
          <w:szCs w:val="24"/>
        </w:rPr>
        <w:t xml:space="preserve"> are imaging tests that reveal the state of the affected area of the wrist. X-rays can be done on the affected wrist to exclude other factors that lead to wrist pain, such as fracture or arthritis</w:t>
      </w:r>
      <w:r w:rsidR="00A84D8C" w:rsidRPr="00575F0D">
        <w:rPr>
          <w:rFonts w:ascii="Times New Roman" w:hAnsi="Times New Roman" w:cs="Times New Roman"/>
          <w:sz w:val="24"/>
          <w:szCs w:val="24"/>
        </w:rPr>
        <w:t xml:space="preserve"> (Genova et al., 2020)</w:t>
      </w:r>
      <w:r w:rsidR="00AA6574" w:rsidRPr="00575F0D">
        <w:rPr>
          <w:rFonts w:ascii="Times New Roman" w:hAnsi="Times New Roman" w:cs="Times New Roman"/>
          <w:sz w:val="24"/>
          <w:szCs w:val="24"/>
        </w:rPr>
        <w:t xml:space="preserve">. However, X-rays are suggested to be less helpful in enhancing the diagnosis of CTS. </w:t>
      </w:r>
    </w:p>
    <w:p w14:paraId="42DC6192" w14:textId="06EC776B" w:rsidR="00AA6574" w:rsidRPr="00575F0D" w:rsidRDefault="00616952" w:rsidP="00575F0D">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lastRenderedPageBreak/>
        <w:t>Electromyography is the other</w:t>
      </w:r>
      <w:r w:rsidR="004E70C0" w:rsidRPr="00575F0D">
        <w:rPr>
          <w:rFonts w:ascii="Times New Roman" w:hAnsi="Times New Roman" w:cs="Times New Roman"/>
          <w:sz w:val="24"/>
          <w:szCs w:val="24"/>
        </w:rPr>
        <w:t xml:space="preserve"> imaging test </w:t>
      </w:r>
      <w:r>
        <w:rPr>
          <w:rFonts w:ascii="Times New Roman" w:hAnsi="Times New Roman" w:cs="Times New Roman"/>
          <w:sz w:val="24"/>
          <w:szCs w:val="24"/>
        </w:rPr>
        <w:t xml:space="preserve">that </w:t>
      </w:r>
      <w:r w:rsidR="004E70C0" w:rsidRPr="00575F0D">
        <w:rPr>
          <w:rFonts w:ascii="Times New Roman" w:hAnsi="Times New Roman" w:cs="Times New Roman"/>
          <w:sz w:val="24"/>
          <w:szCs w:val="24"/>
        </w:rPr>
        <w:t>assesses the electrical conduction of the muscles. In this test, a thin needle electrode is inserted into the muscles to evaluate the electric conduction when the muscles are at rest or conduction mode</w:t>
      </w:r>
      <w:r w:rsidR="00A84D8C" w:rsidRPr="00575F0D">
        <w:rPr>
          <w:rFonts w:ascii="Times New Roman" w:hAnsi="Times New Roman" w:cs="Times New Roman"/>
          <w:sz w:val="24"/>
          <w:szCs w:val="24"/>
        </w:rPr>
        <w:t xml:space="preserve"> (Genova et al., 2020)</w:t>
      </w:r>
      <w:r w:rsidR="004E70C0" w:rsidRPr="00575F0D">
        <w:rPr>
          <w:rFonts w:ascii="Times New Roman" w:hAnsi="Times New Roman" w:cs="Times New Roman"/>
          <w:sz w:val="24"/>
          <w:szCs w:val="24"/>
        </w:rPr>
        <w:t xml:space="preserve">. </w:t>
      </w:r>
      <w:r w:rsidR="00A54650" w:rsidRPr="00575F0D">
        <w:rPr>
          <w:rFonts w:ascii="Times New Roman" w:hAnsi="Times New Roman" w:cs="Times New Roman"/>
          <w:sz w:val="24"/>
          <w:szCs w:val="24"/>
        </w:rPr>
        <w:t>This test will be used in the patent to identify the damaged muscles controlled by the median nerve and rule out other diseases.</w:t>
      </w:r>
    </w:p>
    <w:p w14:paraId="1B97FF4C" w14:textId="48DF2D49" w:rsidR="00A54650" w:rsidRPr="00575F0D" w:rsidRDefault="00616952" w:rsidP="00575F0D">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In </w:t>
      </w:r>
      <w:r w:rsidR="004E70C0" w:rsidRPr="00575F0D">
        <w:rPr>
          <w:rFonts w:ascii="Times New Roman" w:hAnsi="Times New Roman" w:cs="Times New Roman"/>
          <w:sz w:val="24"/>
          <w:szCs w:val="24"/>
        </w:rPr>
        <w:t>Nerve cond</w:t>
      </w:r>
      <w:r>
        <w:rPr>
          <w:rFonts w:ascii="Times New Roman" w:hAnsi="Times New Roman" w:cs="Times New Roman"/>
          <w:sz w:val="24"/>
          <w:szCs w:val="24"/>
        </w:rPr>
        <w:t>uction evaluation,</w:t>
      </w:r>
      <w:r w:rsidR="004E70C0" w:rsidRPr="00575F0D">
        <w:rPr>
          <w:rFonts w:ascii="Times New Roman" w:hAnsi="Times New Roman" w:cs="Times New Roman"/>
          <w:sz w:val="24"/>
          <w:szCs w:val="24"/>
        </w:rPr>
        <w:t xml:space="preserve"> two electrodes are connected to the skin, and shock is passed through the median nerve to evaluate if the impulses will be diminished at the carpal tunnel</w:t>
      </w:r>
      <w:r w:rsidR="00A84D8C" w:rsidRPr="00575F0D">
        <w:rPr>
          <w:rFonts w:ascii="Times New Roman" w:hAnsi="Times New Roman" w:cs="Times New Roman"/>
          <w:sz w:val="24"/>
          <w:szCs w:val="24"/>
        </w:rPr>
        <w:t xml:space="preserve"> (Genova et al., 2020).</w:t>
      </w:r>
      <w:r w:rsidR="004E70C0" w:rsidRPr="00575F0D">
        <w:rPr>
          <w:rFonts w:ascii="Times New Roman" w:hAnsi="Times New Roman" w:cs="Times New Roman"/>
          <w:sz w:val="24"/>
          <w:szCs w:val="24"/>
        </w:rPr>
        <w:t xml:space="preserve"> The test is useful in diagnosing CTS and diagnosing other conditions.  </w:t>
      </w:r>
    </w:p>
    <w:p w14:paraId="3129D79C" w14:textId="77777777" w:rsidR="00A84D8C"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Medical Management</w:t>
      </w:r>
    </w:p>
    <w:p w14:paraId="2D413CB6" w14:textId="77777777" w:rsidR="00590975"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 xml:space="preserve">Different management strategies can be used to enhance the treatment of CTS. One of the strategies is the use of local corticosteroid injection. There has been increasing evidence that suggests corticosteroid injection administered locally is useful in the treatment of CTS. Corticosteroids also enhance the delay for the need for a surgical procedure in CTS patients. Atroshi et al. (2013) carried out a study among 111 participants, which shows that methylprednisolone leads to improvement in patients with CTS within ten weeks of treatment. Splinting is another effective treatment for CTS. Splinting is beneficial because of its </w:t>
      </w:r>
      <w:r w:rsidR="003E10DF" w:rsidRPr="00575F0D">
        <w:rPr>
          <w:rFonts w:ascii="Times New Roman" w:hAnsi="Times New Roman" w:cs="Times New Roman"/>
          <w:sz w:val="24"/>
          <w:szCs w:val="24"/>
        </w:rPr>
        <w:t xml:space="preserve">tolerability, cost-effectiveness, and simplicity. Oral medications such as prednisolone 20mg once a day for 14 days, enhance functionality and symptoms (Carlson et al., 2010). NSAIDs (Nonsteroidal anti-inflammatory drugs) are used to improve the treatment of symptoms. Clinical manifestations such as swelling and pain can be managed through administering NSAIDs. Also, diuretics are significant in relieving pressure in the wrist joints. Pyridoxine (vitamin B6) is also suggested to enhance the treatment of nerve disorders in CTS. </w:t>
      </w:r>
      <w:r w:rsidR="0070027E" w:rsidRPr="00575F0D">
        <w:rPr>
          <w:rFonts w:ascii="Times New Roman" w:hAnsi="Times New Roman" w:cs="Times New Roman"/>
          <w:sz w:val="24"/>
          <w:szCs w:val="24"/>
        </w:rPr>
        <w:t>Also, surgery can be used to improve carpal tunnel release by opening the wrist.</w:t>
      </w:r>
    </w:p>
    <w:p w14:paraId="3AC2DF12" w14:textId="77777777" w:rsidR="00B57EC2"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Prognosis</w:t>
      </w:r>
    </w:p>
    <w:p w14:paraId="60F47DEB" w14:textId="77777777" w:rsidR="00B57EC2"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lastRenderedPageBreak/>
        <w:t>CTS is a condition that responds to treatment well; however, a small portion of patients reports to recover completely after treatment. Residual weakness and numbness are common among patients who have undergone CTS treatment</w:t>
      </w:r>
      <w:r w:rsidR="0070027E" w:rsidRPr="00575F0D">
        <w:rPr>
          <w:rFonts w:ascii="Times New Roman" w:hAnsi="Times New Roman" w:cs="Times New Roman"/>
          <w:sz w:val="24"/>
          <w:szCs w:val="24"/>
        </w:rPr>
        <w:t xml:space="preserve"> (Carlson et al., 2010)</w:t>
      </w:r>
      <w:r w:rsidRPr="00575F0D">
        <w:rPr>
          <w:rFonts w:ascii="Times New Roman" w:hAnsi="Times New Roman" w:cs="Times New Roman"/>
          <w:sz w:val="24"/>
          <w:szCs w:val="24"/>
        </w:rPr>
        <w:t xml:space="preserve">. However, when a surgical procedure has been carried out, there is a need for the patient to modify work for several weeks. Keeping the wrist straight, wearing splints, </w:t>
      </w:r>
      <w:r w:rsidR="0070027E" w:rsidRPr="00575F0D">
        <w:rPr>
          <w:rFonts w:ascii="Times New Roman" w:hAnsi="Times New Roman" w:cs="Times New Roman"/>
          <w:sz w:val="24"/>
          <w:szCs w:val="24"/>
        </w:rPr>
        <w:t>rest, and stretching exercises prevent worsening of the symptoms.</w:t>
      </w:r>
    </w:p>
    <w:p w14:paraId="1E8F8C0C" w14:textId="77777777" w:rsidR="006C06AC"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Follow-up and Referrals</w:t>
      </w:r>
    </w:p>
    <w:p w14:paraId="03FC5C83" w14:textId="77777777" w:rsidR="006C06AC"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After the conservative treatment of CTS, follow up management should be enhanced by the health care providers. The patient should undergo follow-up management for 4-6 weeks after discharge. However, patients who have not achieved the desired outcome in treatment should be referred to the surgical specialists to ensure that surgical management option is considered. More so, consistent symptoms after CTS release in surgery should influence the patient's referral to electrophysiologic studies for more assessment.</w:t>
      </w:r>
    </w:p>
    <w:p w14:paraId="0375D141" w14:textId="77777777" w:rsidR="006C06AC"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t>Patient Education</w:t>
      </w:r>
    </w:p>
    <w:p w14:paraId="59E95EE9" w14:textId="77777777" w:rsidR="006C06AC" w:rsidRPr="00575F0D" w:rsidRDefault="004E70C0" w:rsidP="00575F0D">
      <w:pPr>
        <w:spacing w:after="0" w:line="480" w:lineRule="auto"/>
        <w:ind w:firstLine="851"/>
        <w:rPr>
          <w:rFonts w:ascii="Times New Roman" w:hAnsi="Times New Roman" w:cs="Times New Roman"/>
          <w:sz w:val="24"/>
          <w:szCs w:val="24"/>
        </w:rPr>
      </w:pPr>
      <w:r w:rsidRPr="00575F0D">
        <w:rPr>
          <w:rFonts w:ascii="Times New Roman" w:hAnsi="Times New Roman" w:cs="Times New Roman"/>
          <w:sz w:val="24"/>
          <w:szCs w:val="24"/>
        </w:rPr>
        <w:t xml:space="preserve">The patient should be informed that the symptoms' improvement is expected within 4-6 weeks if the treatment was successful. The patient should be advised to wear her wrist splint at night to regulate signs and prevent the wrist from curling when asleep. All the activities should be done using a healthy body and alignment of the wrist. The patient should </w:t>
      </w:r>
      <w:r w:rsidR="00575F0D" w:rsidRPr="00575F0D">
        <w:rPr>
          <w:rFonts w:ascii="Times New Roman" w:hAnsi="Times New Roman" w:cs="Times New Roman"/>
          <w:sz w:val="24"/>
          <w:szCs w:val="24"/>
        </w:rPr>
        <w:t>inform</w:t>
      </w:r>
      <w:r w:rsidRPr="00575F0D">
        <w:rPr>
          <w:rFonts w:ascii="Times New Roman" w:hAnsi="Times New Roman" w:cs="Times New Roman"/>
          <w:sz w:val="24"/>
          <w:szCs w:val="24"/>
        </w:rPr>
        <w:t xml:space="preserve"> that all activities that require </w:t>
      </w:r>
      <w:r w:rsidR="00575F0D" w:rsidRPr="00575F0D">
        <w:rPr>
          <w:rFonts w:ascii="Times New Roman" w:hAnsi="Times New Roman" w:cs="Times New Roman"/>
          <w:sz w:val="24"/>
          <w:szCs w:val="24"/>
        </w:rPr>
        <w:t>repeated motions, the vibration of the hand, or heavy grasping should be limited (Genova et al., 2020). If the patient undergoes surgical management, she should be advised to be aware that recovery takes longer. However, symptoms such as pain will improve.</w:t>
      </w:r>
    </w:p>
    <w:p w14:paraId="68EB089A" w14:textId="77777777" w:rsidR="00575F0D" w:rsidRDefault="00575F0D" w:rsidP="00575F0D">
      <w:pPr>
        <w:spacing w:after="0" w:line="480" w:lineRule="auto"/>
        <w:ind w:firstLine="851"/>
        <w:rPr>
          <w:rFonts w:ascii="Times New Roman" w:hAnsi="Times New Roman" w:cs="Times New Roman"/>
          <w:b/>
          <w:bCs/>
          <w:sz w:val="24"/>
          <w:szCs w:val="24"/>
        </w:rPr>
      </w:pPr>
    </w:p>
    <w:p w14:paraId="1BB5F4BB" w14:textId="77777777" w:rsidR="00575F0D" w:rsidRDefault="00575F0D" w:rsidP="00575F0D">
      <w:pPr>
        <w:spacing w:after="0" w:line="480" w:lineRule="auto"/>
        <w:ind w:firstLine="851"/>
        <w:rPr>
          <w:rFonts w:ascii="Times New Roman" w:hAnsi="Times New Roman" w:cs="Times New Roman"/>
          <w:b/>
          <w:bCs/>
          <w:sz w:val="24"/>
          <w:szCs w:val="24"/>
        </w:rPr>
      </w:pPr>
    </w:p>
    <w:p w14:paraId="74E944D0" w14:textId="77777777" w:rsidR="00DD2433" w:rsidRDefault="00DD2433" w:rsidP="00575F0D">
      <w:pPr>
        <w:spacing w:after="0" w:line="480" w:lineRule="auto"/>
        <w:ind w:firstLine="851"/>
        <w:jc w:val="center"/>
        <w:rPr>
          <w:rFonts w:ascii="Times New Roman" w:hAnsi="Times New Roman" w:cs="Times New Roman"/>
          <w:b/>
          <w:bCs/>
          <w:sz w:val="24"/>
          <w:szCs w:val="24"/>
        </w:rPr>
      </w:pPr>
    </w:p>
    <w:p w14:paraId="2E7A7C48" w14:textId="4CA8704E" w:rsidR="00575F0D" w:rsidRPr="00575F0D" w:rsidRDefault="004E70C0" w:rsidP="00575F0D">
      <w:pPr>
        <w:spacing w:after="0" w:line="480" w:lineRule="auto"/>
        <w:ind w:firstLine="851"/>
        <w:jc w:val="center"/>
        <w:rPr>
          <w:rFonts w:ascii="Times New Roman" w:hAnsi="Times New Roman" w:cs="Times New Roman"/>
          <w:b/>
          <w:bCs/>
          <w:sz w:val="24"/>
          <w:szCs w:val="24"/>
        </w:rPr>
      </w:pPr>
      <w:r w:rsidRPr="00575F0D">
        <w:rPr>
          <w:rFonts w:ascii="Times New Roman" w:hAnsi="Times New Roman" w:cs="Times New Roman"/>
          <w:b/>
          <w:bCs/>
          <w:sz w:val="24"/>
          <w:szCs w:val="24"/>
        </w:rPr>
        <w:lastRenderedPageBreak/>
        <w:t>References</w:t>
      </w:r>
    </w:p>
    <w:p w14:paraId="2BFEA189"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Aboonq M. S. (2015). Pathophysiology of carpal tunnel syndrome. </w:t>
      </w:r>
      <w:r w:rsidRPr="00575F0D">
        <w:rPr>
          <w:rFonts w:ascii="Times New Roman" w:hAnsi="Times New Roman" w:cs="Times New Roman"/>
          <w:i/>
          <w:iCs/>
          <w:sz w:val="24"/>
          <w:szCs w:val="24"/>
          <w:shd w:val="clear" w:color="auto" w:fill="FFFFFF"/>
        </w:rPr>
        <w:t>Neurosciences (Riyadh, Saudi Arabia)</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20</w:t>
      </w:r>
      <w:r w:rsidRPr="00575F0D">
        <w:rPr>
          <w:rFonts w:ascii="Times New Roman" w:hAnsi="Times New Roman" w:cs="Times New Roman"/>
          <w:sz w:val="24"/>
          <w:szCs w:val="24"/>
          <w:shd w:val="clear" w:color="auto" w:fill="FFFFFF"/>
        </w:rPr>
        <w:t>(1), 4–9.</w:t>
      </w:r>
    </w:p>
    <w:p w14:paraId="6287D444" w14:textId="77777777" w:rsidR="00575F0D" w:rsidRPr="00575F0D" w:rsidRDefault="004E70C0" w:rsidP="00575F0D">
      <w:pPr>
        <w:spacing w:after="0" w:line="480" w:lineRule="auto"/>
        <w:ind w:left="851" w:hanging="851"/>
        <w:rPr>
          <w:rFonts w:ascii="Times New Roman" w:hAnsi="Times New Roman" w:cs="Times New Roman"/>
          <w:b/>
          <w:bCs/>
          <w:sz w:val="24"/>
          <w:szCs w:val="24"/>
        </w:rPr>
      </w:pPr>
      <w:r w:rsidRPr="00575F0D">
        <w:rPr>
          <w:rFonts w:ascii="Times New Roman" w:hAnsi="Times New Roman" w:cs="Times New Roman"/>
          <w:sz w:val="24"/>
          <w:szCs w:val="24"/>
          <w:shd w:val="clear" w:color="auto" w:fill="FFFFFF"/>
        </w:rPr>
        <w:t>Atroshi, I., Flondell, M., Hofer, M., &amp; Ranstam, J. (2013). Methylprednisolone injections for the carpal tunnel syndrome: a randomized, placebo-controlled trial. </w:t>
      </w:r>
      <w:r w:rsidRPr="00575F0D">
        <w:rPr>
          <w:rFonts w:ascii="Times New Roman" w:hAnsi="Times New Roman" w:cs="Times New Roman"/>
          <w:i/>
          <w:iCs/>
          <w:sz w:val="24"/>
          <w:szCs w:val="24"/>
          <w:shd w:val="clear" w:color="auto" w:fill="FFFFFF"/>
        </w:rPr>
        <w:t>Annals of internal medicine</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159</w:t>
      </w:r>
      <w:r w:rsidRPr="00575F0D">
        <w:rPr>
          <w:rFonts w:ascii="Times New Roman" w:hAnsi="Times New Roman" w:cs="Times New Roman"/>
          <w:sz w:val="24"/>
          <w:szCs w:val="24"/>
          <w:shd w:val="clear" w:color="auto" w:fill="FFFFFF"/>
        </w:rPr>
        <w:t>(5), 309–317. https://doi.org/10.7326/0003-4819-159-5-201309030-00004</w:t>
      </w:r>
    </w:p>
    <w:p w14:paraId="0FE72A32"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 xml:space="preserve">Bass, E. (2012). Tendinopathy: why the difference between tendinitis and tendinosis matters. </w:t>
      </w:r>
      <w:r w:rsidRPr="00575F0D">
        <w:rPr>
          <w:rFonts w:ascii="Times New Roman" w:hAnsi="Times New Roman" w:cs="Times New Roman"/>
          <w:i/>
          <w:iCs/>
          <w:sz w:val="24"/>
          <w:szCs w:val="24"/>
          <w:shd w:val="clear" w:color="auto" w:fill="FFFFFF"/>
        </w:rPr>
        <w:t>International journal of therapeutic massage &amp; bodywork</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5</w:t>
      </w:r>
      <w:r w:rsidRPr="00575F0D">
        <w:rPr>
          <w:rFonts w:ascii="Times New Roman" w:hAnsi="Times New Roman" w:cs="Times New Roman"/>
          <w:sz w:val="24"/>
          <w:szCs w:val="24"/>
          <w:shd w:val="clear" w:color="auto" w:fill="FFFFFF"/>
        </w:rPr>
        <w:t xml:space="preserve">(1), 14–17. </w:t>
      </w:r>
      <w:hyperlink r:id="rId7" w:history="1">
        <w:r w:rsidRPr="00575F0D">
          <w:rPr>
            <w:rStyle w:val="Hyperlink"/>
            <w:rFonts w:ascii="Times New Roman" w:hAnsi="Times New Roman" w:cs="Times New Roman"/>
            <w:color w:val="auto"/>
            <w:sz w:val="24"/>
            <w:szCs w:val="24"/>
            <w:u w:val="none"/>
            <w:shd w:val="clear" w:color="auto" w:fill="FFFFFF"/>
          </w:rPr>
          <w:t>https://doi.org/10.3822/ijtmb.v5i1.153</w:t>
        </w:r>
      </w:hyperlink>
    </w:p>
    <w:p w14:paraId="324A6C73"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Caridi, J. M., Pumberger, M., &amp; Hughes, A. P. (2011). Cervical radiculopathy: a review. </w:t>
      </w:r>
      <w:r w:rsidRPr="00575F0D">
        <w:rPr>
          <w:rFonts w:ascii="Times New Roman" w:hAnsi="Times New Roman" w:cs="Times New Roman"/>
          <w:i/>
          <w:iCs/>
          <w:sz w:val="24"/>
          <w:szCs w:val="24"/>
          <w:shd w:val="clear" w:color="auto" w:fill="FFFFFF"/>
        </w:rPr>
        <w:t>HSS journal: the musculoskeletal journal of Hospital for Special Surgery</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7</w:t>
      </w:r>
      <w:r w:rsidRPr="00575F0D">
        <w:rPr>
          <w:rFonts w:ascii="Times New Roman" w:hAnsi="Times New Roman" w:cs="Times New Roman"/>
          <w:sz w:val="24"/>
          <w:szCs w:val="24"/>
          <w:shd w:val="clear" w:color="auto" w:fill="FFFFFF"/>
        </w:rPr>
        <w:t xml:space="preserve">(3), 265–272. </w:t>
      </w:r>
      <w:hyperlink r:id="rId8" w:history="1">
        <w:r w:rsidRPr="00575F0D">
          <w:rPr>
            <w:rStyle w:val="Hyperlink"/>
            <w:rFonts w:ascii="Times New Roman" w:hAnsi="Times New Roman" w:cs="Times New Roman"/>
            <w:color w:val="auto"/>
            <w:sz w:val="24"/>
            <w:szCs w:val="24"/>
            <w:u w:val="none"/>
            <w:shd w:val="clear" w:color="auto" w:fill="FFFFFF"/>
          </w:rPr>
          <w:t>https://doi.org/10.1007/s11420-011-9218-z</w:t>
        </w:r>
      </w:hyperlink>
    </w:p>
    <w:p w14:paraId="6C2F38AA"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Carlson, H., Colbert, A., Frydl, J., Arnall, E., Elliot, M., &amp; Carlson, N. (2010). Current options for nonsurgical management of carpal tunnel syndrome. </w:t>
      </w:r>
      <w:r w:rsidRPr="00575F0D">
        <w:rPr>
          <w:rFonts w:ascii="Times New Roman" w:hAnsi="Times New Roman" w:cs="Times New Roman"/>
          <w:i/>
          <w:iCs/>
          <w:sz w:val="24"/>
          <w:szCs w:val="24"/>
          <w:shd w:val="clear" w:color="auto" w:fill="FFFFFF"/>
        </w:rPr>
        <w:t>International journal of clinical rheumatology</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5</w:t>
      </w:r>
      <w:r w:rsidRPr="00575F0D">
        <w:rPr>
          <w:rFonts w:ascii="Times New Roman" w:hAnsi="Times New Roman" w:cs="Times New Roman"/>
          <w:sz w:val="24"/>
          <w:szCs w:val="24"/>
          <w:shd w:val="clear" w:color="auto" w:fill="FFFFFF"/>
        </w:rPr>
        <w:t xml:space="preserve">(1), 129–142. </w:t>
      </w:r>
      <w:hyperlink r:id="rId9" w:history="1">
        <w:r w:rsidRPr="00575F0D">
          <w:rPr>
            <w:rStyle w:val="Hyperlink"/>
            <w:rFonts w:ascii="Times New Roman" w:hAnsi="Times New Roman" w:cs="Times New Roman"/>
            <w:color w:val="auto"/>
            <w:sz w:val="24"/>
            <w:szCs w:val="24"/>
            <w:u w:val="none"/>
            <w:shd w:val="clear" w:color="auto" w:fill="FFFFFF"/>
          </w:rPr>
          <w:t>https://doi.org/10.2217/IJR.09.63</w:t>
        </w:r>
      </w:hyperlink>
    </w:p>
    <w:p w14:paraId="6A9DB722"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Dean, B., Henari, S., Thurley, N., Little, C., McNab, I., &amp; Riley, N. (2018). Therapeutic interventions for osteoarthritis of the wrist: a systematic review and meta-analysis. </w:t>
      </w:r>
      <w:r w:rsidRPr="00575F0D">
        <w:rPr>
          <w:rFonts w:ascii="Times New Roman" w:hAnsi="Times New Roman" w:cs="Times New Roman"/>
          <w:i/>
          <w:iCs/>
          <w:sz w:val="24"/>
          <w:szCs w:val="24"/>
          <w:shd w:val="clear" w:color="auto" w:fill="FFFFFF"/>
        </w:rPr>
        <w:t>F1000Research</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7</w:t>
      </w:r>
      <w:r w:rsidRPr="00575F0D">
        <w:rPr>
          <w:rFonts w:ascii="Times New Roman" w:hAnsi="Times New Roman" w:cs="Times New Roman"/>
          <w:sz w:val="24"/>
          <w:szCs w:val="24"/>
          <w:shd w:val="clear" w:color="auto" w:fill="FFFFFF"/>
        </w:rPr>
        <w:t xml:space="preserve">, 1484. </w:t>
      </w:r>
      <w:hyperlink r:id="rId10" w:history="1">
        <w:r w:rsidRPr="00575F0D">
          <w:rPr>
            <w:rStyle w:val="Hyperlink"/>
            <w:rFonts w:ascii="Times New Roman" w:hAnsi="Times New Roman" w:cs="Times New Roman"/>
            <w:color w:val="auto"/>
            <w:sz w:val="24"/>
            <w:szCs w:val="24"/>
            <w:u w:val="none"/>
            <w:shd w:val="clear" w:color="auto" w:fill="FFFFFF"/>
          </w:rPr>
          <w:t>https://doi.org/10.12688/f1000research.16218.2</w:t>
        </w:r>
      </w:hyperlink>
    </w:p>
    <w:p w14:paraId="3F878A6A" w14:textId="77777777" w:rsidR="00575F0D" w:rsidRPr="00575F0D" w:rsidRDefault="004E70C0" w:rsidP="00575F0D">
      <w:pPr>
        <w:spacing w:after="0" w:line="480" w:lineRule="auto"/>
        <w:ind w:left="851" w:hanging="851"/>
        <w:rPr>
          <w:rFonts w:ascii="Times New Roman" w:hAnsi="Times New Roman" w:cs="Times New Roman"/>
          <w:sz w:val="24"/>
          <w:szCs w:val="24"/>
          <w:shd w:val="clear" w:color="auto" w:fill="FFFFFF"/>
        </w:rPr>
      </w:pPr>
      <w:r w:rsidRPr="00575F0D">
        <w:rPr>
          <w:rFonts w:ascii="Times New Roman" w:hAnsi="Times New Roman" w:cs="Times New Roman"/>
          <w:sz w:val="24"/>
          <w:szCs w:val="24"/>
          <w:shd w:val="clear" w:color="auto" w:fill="FFFFFF"/>
        </w:rPr>
        <w:t>Genova, A., Dix, O., Saefan, A., Thakur, M., &amp; Hassan, A. (2020). Carpal Tunnel Syndrome: A Review of Literature. </w:t>
      </w:r>
      <w:r w:rsidRPr="00575F0D">
        <w:rPr>
          <w:rFonts w:ascii="Times New Roman" w:hAnsi="Times New Roman" w:cs="Times New Roman"/>
          <w:i/>
          <w:iCs/>
          <w:sz w:val="24"/>
          <w:szCs w:val="24"/>
          <w:shd w:val="clear" w:color="auto" w:fill="FFFFFF"/>
        </w:rPr>
        <w:t>Cureus</w:t>
      </w:r>
      <w:r w:rsidRPr="00575F0D">
        <w:rPr>
          <w:rFonts w:ascii="Times New Roman" w:hAnsi="Times New Roman" w:cs="Times New Roman"/>
          <w:sz w:val="24"/>
          <w:szCs w:val="24"/>
          <w:shd w:val="clear" w:color="auto" w:fill="FFFFFF"/>
        </w:rPr>
        <w:t>, </w:t>
      </w:r>
      <w:r w:rsidRPr="00575F0D">
        <w:rPr>
          <w:rFonts w:ascii="Times New Roman" w:hAnsi="Times New Roman" w:cs="Times New Roman"/>
          <w:i/>
          <w:iCs/>
          <w:sz w:val="24"/>
          <w:szCs w:val="24"/>
          <w:shd w:val="clear" w:color="auto" w:fill="FFFFFF"/>
        </w:rPr>
        <w:t>12</w:t>
      </w:r>
      <w:r w:rsidRPr="00575F0D">
        <w:rPr>
          <w:rFonts w:ascii="Times New Roman" w:hAnsi="Times New Roman" w:cs="Times New Roman"/>
          <w:sz w:val="24"/>
          <w:szCs w:val="24"/>
          <w:shd w:val="clear" w:color="auto" w:fill="FFFFFF"/>
        </w:rPr>
        <w:t xml:space="preserve">(3), e7333. </w:t>
      </w:r>
      <w:hyperlink r:id="rId11" w:history="1">
        <w:r w:rsidRPr="00575F0D">
          <w:rPr>
            <w:rStyle w:val="Hyperlink"/>
            <w:rFonts w:ascii="Times New Roman" w:hAnsi="Times New Roman" w:cs="Times New Roman"/>
            <w:color w:val="auto"/>
            <w:sz w:val="24"/>
            <w:szCs w:val="24"/>
            <w:u w:val="none"/>
            <w:shd w:val="clear" w:color="auto" w:fill="FFFFFF"/>
          </w:rPr>
          <w:t>https://doi.org/10.7759/cureus.7333</w:t>
        </w:r>
      </w:hyperlink>
    </w:p>
    <w:sectPr w:rsidR="00575F0D" w:rsidRPr="00575F0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23098" w14:textId="77777777" w:rsidR="00DC5114" w:rsidRDefault="00DC5114">
      <w:pPr>
        <w:spacing w:after="0" w:line="240" w:lineRule="auto"/>
      </w:pPr>
      <w:r>
        <w:separator/>
      </w:r>
    </w:p>
  </w:endnote>
  <w:endnote w:type="continuationSeparator" w:id="0">
    <w:p w14:paraId="09D6210B" w14:textId="77777777" w:rsidR="00DC5114" w:rsidRDefault="00DC5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E89EE" w14:textId="77777777" w:rsidR="00DC5114" w:rsidRDefault="00DC5114">
      <w:pPr>
        <w:spacing w:after="0" w:line="240" w:lineRule="auto"/>
      </w:pPr>
      <w:r>
        <w:separator/>
      </w:r>
    </w:p>
  </w:footnote>
  <w:footnote w:type="continuationSeparator" w:id="0">
    <w:p w14:paraId="4A4775DB" w14:textId="77777777" w:rsidR="00DC5114" w:rsidRDefault="00DC5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408199"/>
      <w:docPartObj>
        <w:docPartGallery w:val="Page Numbers (Top of Page)"/>
        <w:docPartUnique/>
      </w:docPartObj>
    </w:sdtPr>
    <w:sdtEndPr>
      <w:rPr>
        <w:rFonts w:ascii="Times New Roman" w:hAnsi="Times New Roman" w:cs="Times New Roman"/>
        <w:noProof/>
        <w:sz w:val="24"/>
        <w:szCs w:val="24"/>
      </w:rPr>
    </w:sdtEndPr>
    <w:sdtContent>
      <w:p w14:paraId="3BC83F03" w14:textId="77777777" w:rsidR="00575F0D" w:rsidRPr="00575F0D" w:rsidRDefault="004E70C0">
        <w:pPr>
          <w:pStyle w:val="Header"/>
          <w:jc w:val="right"/>
          <w:rPr>
            <w:rFonts w:ascii="Times New Roman" w:hAnsi="Times New Roman" w:cs="Times New Roman"/>
            <w:sz w:val="24"/>
            <w:szCs w:val="24"/>
          </w:rPr>
        </w:pPr>
        <w:r w:rsidRPr="00575F0D">
          <w:rPr>
            <w:rFonts w:ascii="Times New Roman" w:hAnsi="Times New Roman" w:cs="Times New Roman"/>
            <w:sz w:val="24"/>
            <w:szCs w:val="24"/>
          </w:rPr>
          <w:fldChar w:fldCharType="begin"/>
        </w:r>
        <w:r w:rsidRPr="00575F0D">
          <w:rPr>
            <w:rFonts w:ascii="Times New Roman" w:hAnsi="Times New Roman" w:cs="Times New Roman"/>
            <w:sz w:val="24"/>
            <w:szCs w:val="24"/>
          </w:rPr>
          <w:instrText xml:space="preserve"> PAGE   \* MERGEFORMAT </w:instrText>
        </w:r>
        <w:r w:rsidRPr="00575F0D">
          <w:rPr>
            <w:rFonts w:ascii="Times New Roman" w:hAnsi="Times New Roman" w:cs="Times New Roman"/>
            <w:sz w:val="24"/>
            <w:szCs w:val="24"/>
          </w:rPr>
          <w:fldChar w:fldCharType="separate"/>
        </w:r>
        <w:r w:rsidR="00593944">
          <w:rPr>
            <w:rFonts w:ascii="Times New Roman" w:hAnsi="Times New Roman" w:cs="Times New Roman"/>
            <w:noProof/>
            <w:sz w:val="24"/>
            <w:szCs w:val="24"/>
          </w:rPr>
          <w:t>8</w:t>
        </w:r>
        <w:r w:rsidRPr="00575F0D">
          <w:rPr>
            <w:rFonts w:ascii="Times New Roman" w:hAnsi="Times New Roman" w:cs="Times New Roman"/>
            <w:noProof/>
            <w:sz w:val="24"/>
            <w:szCs w:val="24"/>
          </w:rPr>
          <w:fldChar w:fldCharType="end"/>
        </w:r>
      </w:p>
    </w:sdtContent>
  </w:sdt>
  <w:p w14:paraId="0C262F55" w14:textId="77777777" w:rsidR="00575F0D" w:rsidRDefault="00575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82"/>
    <w:rsid w:val="00030224"/>
    <w:rsid w:val="0007311C"/>
    <w:rsid w:val="00331657"/>
    <w:rsid w:val="003904F5"/>
    <w:rsid w:val="003E10DF"/>
    <w:rsid w:val="00486882"/>
    <w:rsid w:val="004E70C0"/>
    <w:rsid w:val="00575F0D"/>
    <w:rsid w:val="00590975"/>
    <w:rsid w:val="00593944"/>
    <w:rsid w:val="00616952"/>
    <w:rsid w:val="006268DB"/>
    <w:rsid w:val="006C06AC"/>
    <w:rsid w:val="006E0ED9"/>
    <w:rsid w:val="0070027E"/>
    <w:rsid w:val="00855022"/>
    <w:rsid w:val="008F2A95"/>
    <w:rsid w:val="009F4945"/>
    <w:rsid w:val="00A54650"/>
    <w:rsid w:val="00A84D8C"/>
    <w:rsid w:val="00AA6574"/>
    <w:rsid w:val="00B57EC2"/>
    <w:rsid w:val="00BC2C46"/>
    <w:rsid w:val="00BD4B9F"/>
    <w:rsid w:val="00BE6792"/>
    <w:rsid w:val="00CA5D40"/>
    <w:rsid w:val="00D6374F"/>
    <w:rsid w:val="00DC5114"/>
    <w:rsid w:val="00DD2433"/>
    <w:rsid w:val="00E86198"/>
    <w:rsid w:val="00E954DC"/>
    <w:rsid w:val="00F51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F0D"/>
    <w:rPr>
      <w:color w:val="0563C1" w:themeColor="hyperlink"/>
      <w:u w:val="single"/>
    </w:rPr>
  </w:style>
  <w:style w:type="character" w:customStyle="1" w:styleId="UnresolvedMention1">
    <w:name w:val="Unresolved Mention1"/>
    <w:basedOn w:val="DefaultParagraphFont"/>
    <w:uiPriority w:val="99"/>
    <w:semiHidden/>
    <w:unhideWhenUsed/>
    <w:rsid w:val="00575F0D"/>
    <w:rPr>
      <w:color w:val="605E5C"/>
      <w:shd w:val="clear" w:color="auto" w:fill="E1DFDD"/>
    </w:rPr>
  </w:style>
  <w:style w:type="paragraph" w:styleId="Header">
    <w:name w:val="header"/>
    <w:basedOn w:val="Normal"/>
    <w:link w:val="HeaderChar"/>
    <w:uiPriority w:val="99"/>
    <w:unhideWhenUsed/>
    <w:rsid w:val="00575F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F0D"/>
  </w:style>
  <w:style w:type="paragraph" w:styleId="Footer">
    <w:name w:val="footer"/>
    <w:basedOn w:val="Normal"/>
    <w:link w:val="FooterChar"/>
    <w:uiPriority w:val="99"/>
    <w:unhideWhenUsed/>
    <w:rsid w:val="00575F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F0D"/>
    <w:rPr>
      <w:color w:val="0563C1" w:themeColor="hyperlink"/>
      <w:u w:val="single"/>
    </w:rPr>
  </w:style>
  <w:style w:type="character" w:customStyle="1" w:styleId="UnresolvedMention1">
    <w:name w:val="Unresolved Mention1"/>
    <w:basedOn w:val="DefaultParagraphFont"/>
    <w:uiPriority w:val="99"/>
    <w:semiHidden/>
    <w:unhideWhenUsed/>
    <w:rsid w:val="00575F0D"/>
    <w:rPr>
      <w:color w:val="605E5C"/>
      <w:shd w:val="clear" w:color="auto" w:fill="E1DFDD"/>
    </w:rPr>
  </w:style>
  <w:style w:type="paragraph" w:styleId="Header">
    <w:name w:val="header"/>
    <w:basedOn w:val="Normal"/>
    <w:link w:val="HeaderChar"/>
    <w:uiPriority w:val="99"/>
    <w:unhideWhenUsed/>
    <w:rsid w:val="00575F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F0D"/>
  </w:style>
  <w:style w:type="paragraph" w:styleId="Footer">
    <w:name w:val="footer"/>
    <w:basedOn w:val="Normal"/>
    <w:link w:val="FooterChar"/>
    <w:uiPriority w:val="99"/>
    <w:unhideWhenUsed/>
    <w:rsid w:val="00575F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420-011-9218-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822/ijtmb.v5i1.153"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7759/cureus.7333" TargetMode="External"/><Relationship Id="rId5" Type="http://schemas.openxmlformats.org/officeDocument/2006/relationships/footnotes" Target="footnotes.xml"/><Relationship Id="rId10" Type="http://schemas.openxmlformats.org/officeDocument/2006/relationships/hyperlink" Target="https://doi.org/10.12688/f1000research.16218.2" TargetMode="External"/><Relationship Id="rId4" Type="http://schemas.openxmlformats.org/officeDocument/2006/relationships/webSettings" Target="webSettings.xml"/><Relationship Id="rId9" Type="http://schemas.openxmlformats.org/officeDocument/2006/relationships/hyperlink" Target="https://doi.org/10.2217/IJR.09.6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1973</Words>
  <Characters>11249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2020-11-30T19:41:00Z</dcterms:created>
  <dcterms:modified xsi:type="dcterms:W3CDTF">2020-11-30T19:41:00Z</dcterms:modified>
</cp:coreProperties>
</file>