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A40A1" w14:textId="77777777" w:rsidR="00441EC9" w:rsidRDefault="00441EC9">
      <w:pPr>
        <w:pStyle w:val="Normal1"/>
        <w:widowControl w:val="0"/>
        <w:spacing w:line="240" w:lineRule="auto"/>
        <w:contextualSpacing w:val="0"/>
        <w:rPr>
          <w:rFonts w:ascii="Times New Roman" w:eastAsia="Times New Roman" w:hAnsi="Times New Roman" w:cs="Times New Roman"/>
          <w:sz w:val="24"/>
          <w:szCs w:val="24"/>
        </w:rPr>
      </w:pPr>
      <w:bookmarkStart w:id="0" w:name="_GoBack"/>
      <w:bookmarkEnd w:id="0"/>
    </w:p>
    <w:p w14:paraId="60AE3348" w14:textId="77777777" w:rsidR="00441EC9" w:rsidRDefault="00441EC9">
      <w:pPr>
        <w:pStyle w:val="Normal1"/>
        <w:widowControl w:val="0"/>
        <w:spacing w:line="240" w:lineRule="auto"/>
        <w:contextualSpacing w:val="0"/>
        <w:rPr>
          <w:rFonts w:ascii="Times New Roman" w:eastAsia="Times New Roman" w:hAnsi="Times New Roman" w:cs="Times New Roman"/>
          <w:sz w:val="24"/>
          <w:szCs w:val="24"/>
        </w:rPr>
      </w:pPr>
    </w:p>
    <w:p w14:paraId="15F24659" w14:textId="77777777" w:rsidR="00441EC9" w:rsidRDefault="00441EC9">
      <w:pPr>
        <w:pStyle w:val="Normal1"/>
        <w:widowControl w:val="0"/>
        <w:spacing w:line="240" w:lineRule="auto"/>
        <w:contextualSpacing w:val="0"/>
        <w:rPr>
          <w:rFonts w:ascii="Times New Roman" w:eastAsia="Times New Roman" w:hAnsi="Times New Roman" w:cs="Times New Roman"/>
          <w:sz w:val="24"/>
          <w:szCs w:val="24"/>
        </w:rPr>
      </w:pPr>
    </w:p>
    <w:p w14:paraId="0A817B1C" w14:textId="77777777" w:rsidR="00441EC9" w:rsidRDefault="00441EC9" w:rsidP="007F7B2C">
      <w:pPr>
        <w:pStyle w:val="Normal1"/>
        <w:widowControl w:val="0"/>
        <w:spacing w:line="480" w:lineRule="auto"/>
        <w:contextualSpacing w:val="0"/>
        <w:rPr>
          <w:rFonts w:ascii="Times New Roman" w:eastAsia="Times New Roman" w:hAnsi="Times New Roman" w:cs="Times New Roman"/>
          <w:sz w:val="24"/>
          <w:szCs w:val="24"/>
        </w:rPr>
      </w:pPr>
    </w:p>
    <w:p w14:paraId="245C8C2F" w14:textId="77777777" w:rsidR="00441EC9" w:rsidRDefault="00441EC9" w:rsidP="007F7B2C">
      <w:pPr>
        <w:pStyle w:val="Normal1"/>
        <w:widowControl w:val="0"/>
        <w:spacing w:line="480" w:lineRule="auto"/>
        <w:contextualSpacing w:val="0"/>
        <w:rPr>
          <w:rFonts w:ascii="Times New Roman" w:eastAsia="Times New Roman" w:hAnsi="Times New Roman" w:cs="Times New Roman"/>
          <w:sz w:val="24"/>
          <w:szCs w:val="24"/>
        </w:rPr>
      </w:pPr>
    </w:p>
    <w:p w14:paraId="0D7AA498" w14:textId="77777777" w:rsidR="00441EC9" w:rsidRDefault="00441EC9" w:rsidP="007F7B2C">
      <w:pPr>
        <w:pStyle w:val="Normal1"/>
        <w:widowControl w:val="0"/>
        <w:spacing w:line="480" w:lineRule="auto"/>
        <w:contextualSpacing w:val="0"/>
        <w:rPr>
          <w:rFonts w:ascii="Times New Roman" w:eastAsia="Times New Roman" w:hAnsi="Times New Roman" w:cs="Times New Roman"/>
          <w:sz w:val="24"/>
          <w:szCs w:val="24"/>
        </w:rPr>
      </w:pPr>
    </w:p>
    <w:p w14:paraId="35091391" w14:textId="77777777" w:rsidR="00441EC9" w:rsidRDefault="00441EC9" w:rsidP="007F7B2C">
      <w:pPr>
        <w:pStyle w:val="Normal1"/>
        <w:widowControl w:val="0"/>
        <w:spacing w:line="480" w:lineRule="auto"/>
        <w:contextualSpacing w:val="0"/>
        <w:rPr>
          <w:rFonts w:ascii="Times New Roman" w:eastAsia="Times New Roman" w:hAnsi="Times New Roman" w:cs="Times New Roman"/>
          <w:sz w:val="24"/>
          <w:szCs w:val="24"/>
        </w:rPr>
      </w:pPr>
    </w:p>
    <w:p w14:paraId="1FB99B01" w14:textId="77777777" w:rsidR="00441EC9" w:rsidRDefault="00441EC9" w:rsidP="007F7B2C">
      <w:pPr>
        <w:pStyle w:val="Normal1"/>
        <w:widowControl w:val="0"/>
        <w:spacing w:line="480" w:lineRule="auto"/>
        <w:contextualSpacing w:val="0"/>
        <w:rPr>
          <w:rFonts w:ascii="Times New Roman" w:eastAsia="Times New Roman" w:hAnsi="Times New Roman" w:cs="Times New Roman"/>
          <w:sz w:val="24"/>
          <w:szCs w:val="24"/>
        </w:rPr>
      </w:pPr>
    </w:p>
    <w:p w14:paraId="4D9489FD" w14:textId="77777777" w:rsidR="008A425C" w:rsidRDefault="008A425C" w:rsidP="007F7B2C">
      <w:pPr>
        <w:pStyle w:val="Normal1"/>
        <w:widowControl w:val="0"/>
        <w:spacing w:line="480" w:lineRule="auto"/>
        <w:contextualSpacing w:val="0"/>
        <w:rPr>
          <w:rFonts w:ascii="Times New Roman" w:eastAsia="Times New Roman" w:hAnsi="Times New Roman" w:cs="Times New Roman"/>
          <w:sz w:val="24"/>
          <w:szCs w:val="24"/>
        </w:rPr>
      </w:pPr>
    </w:p>
    <w:p w14:paraId="2E7C44B7" w14:textId="77777777" w:rsidR="00441EC9" w:rsidRDefault="00441EC9" w:rsidP="008A425C">
      <w:pPr>
        <w:pStyle w:val="Normal1"/>
        <w:widowControl w:val="0"/>
        <w:spacing w:line="240" w:lineRule="auto"/>
        <w:contextualSpacing w:val="0"/>
        <w:rPr>
          <w:rFonts w:ascii="Times New Roman" w:eastAsia="Times New Roman" w:hAnsi="Times New Roman" w:cs="Times New Roman"/>
          <w:sz w:val="24"/>
          <w:szCs w:val="24"/>
        </w:rPr>
      </w:pPr>
    </w:p>
    <w:p w14:paraId="69323802" w14:textId="2D0CA897" w:rsidR="00441EC9" w:rsidRDefault="008A425C" w:rsidP="008A425C">
      <w:pPr>
        <w:pStyle w:val="Normal1"/>
        <w:widowControl w:val="0"/>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Case Brief</w:t>
      </w:r>
      <w:r w:rsidR="004B59FD">
        <w:rPr>
          <w:rFonts w:ascii="Times New Roman" w:eastAsia="Times New Roman" w:hAnsi="Times New Roman" w:cs="Times New Roman"/>
          <w:sz w:val="24"/>
          <w:szCs w:val="24"/>
        </w:rPr>
        <w:t xml:space="preserve"> Sample</w:t>
      </w:r>
    </w:p>
    <w:p w14:paraId="6CCB8A78" w14:textId="3494DAA4" w:rsidR="008A425C" w:rsidRDefault="008A425C" w:rsidP="008A42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882805" w14:textId="77777777" w:rsidR="00441EC9" w:rsidRDefault="008A425C" w:rsidP="007F7B2C">
      <w:pPr>
        <w:pStyle w:val="Normal1"/>
        <w:widowControl w:v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Davis v. Wooster Orthopaedics &amp; Sports Medicine, Inc.193 Ohio App. 3d 581 (2011). </w:t>
      </w:r>
    </w:p>
    <w:p w14:paraId="3374276D" w14:textId="77777777" w:rsidR="00441EC9" w:rsidRDefault="008A425C" w:rsidP="007F7B2C">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Court Name: Court of Common Pleas, County of Summit, Ohio  </w:t>
      </w:r>
    </w:p>
    <w:p w14:paraId="0861DB5D" w14:textId="74E72170" w:rsidR="00441EC9" w:rsidRDefault="008A425C" w:rsidP="008A425C">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Date of Decision:  June 29, 2011</w:t>
      </w:r>
    </w:p>
    <w:p w14:paraId="61FAC7B0" w14:textId="77777777" w:rsidR="008A425C" w:rsidRDefault="008A425C" w:rsidP="008A425C">
      <w:pPr>
        <w:pStyle w:val="Normal1"/>
        <w:spacing w:line="480" w:lineRule="auto"/>
        <w:contextualSpacing w:val="0"/>
        <w:rPr>
          <w:rFonts w:ascii="Times New Roman" w:eastAsia="Times New Roman" w:hAnsi="Times New Roman" w:cs="Times New Roman"/>
          <w:sz w:val="24"/>
          <w:szCs w:val="24"/>
        </w:rPr>
      </w:pPr>
    </w:p>
    <w:p w14:paraId="2D29437F" w14:textId="77777777" w:rsidR="00441EC9" w:rsidRPr="008A425C" w:rsidRDefault="008A425C" w:rsidP="007F7B2C">
      <w:pPr>
        <w:pStyle w:val="Normal1"/>
        <w:widowControl w:val="0"/>
        <w:spacing w:after="160"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Statement of Facts</w:t>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r w:rsidRPr="008A425C">
        <w:rPr>
          <w:rFonts w:ascii="Times New Roman" w:eastAsia="Times New Roman" w:hAnsi="Times New Roman" w:cs="Times New Roman"/>
          <w:b/>
          <w:sz w:val="24"/>
          <w:szCs w:val="24"/>
        </w:rPr>
        <w:tab/>
      </w:r>
    </w:p>
    <w:p w14:paraId="230F2845" w14:textId="77777777" w:rsidR="00441EC9" w:rsidRDefault="008A425C" w:rsidP="007F7B2C">
      <w:pPr>
        <w:pStyle w:val="Normal1"/>
        <w:widowControl w:v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statement of facts presented in</w:t>
      </w:r>
      <w:r>
        <w:rPr>
          <w:rFonts w:ascii="Times New Roman" w:eastAsia="Times New Roman" w:hAnsi="Times New Roman" w:cs="Times New Roman"/>
          <w:i/>
          <w:sz w:val="24"/>
          <w:szCs w:val="24"/>
        </w:rPr>
        <w:t xml:space="preserve"> Davis v. Orthopaedics &amp; Sports Medicine, Inc</w:t>
      </w:r>
      <w:r>
        <w:rPr>
          <w:rFonts w:ascii="Times New Roman" w:eastAsia="Times New Roman" w:hAnsi="Times New Roman" w:cs="Times New Roman"/>
          <w:sz w:val="24"/>
          <w:szCs w:val="24"/>
        </w:rPr>
        <w:t>. were very straightforward. There was one plaintiff: Leroy Davis, the husband of the deceased Barbara Davis. There were two defendants: Dr. Michael S. Knapic and his practice, Wooster Orthopedics &amp; Sports Medicine, Inc.</w:t>
      </w:r>
    </w:p>
    <w:p w14:paraId="17889D56" w14:textId="77777777" w:rsidR="00441EC9" w:rsidRDefault="008A425C" w:rsidP="007F7B2C">
      <w:pPr>
        <w:pStyle w:val="Normal1"/>
        <w:widowControl w:val="0"/>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particular case, Barbara Davis was a patient of Dr. Knapic’s. On July 23, 2004, Dr. Knapic performed a lumbar microdiscectomy on the plaintiff. During this operation, the defendant, Dr. Knapic, severed the plaintiff, Barbara Davis’ left common iliac artery and lacerated her iliac vein, which caused her to bleed significantly. The defendant, Dr. Knapic, failed to diagnose and treat the error causing the patient’s health to deteriorate, which ultimately lead to her demise.</w:t>
      </w:r>
    </w:p>
    <w:p w14:paraId="6F089D8B" w14:textId="77777777" w:rsidR="00441EC9" w:rsidRPr="008A425C" w:rsidRDefault="008A425C" w:rsidP="007F7B2C">
      <w:pPr>
        <w:pStyle w:val="Normal1"/>
        <w:widowControl w:val="0"/>
        <w:spacing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Procedural History</w:t>
      </w:r>
    </w:p>
    <w:p w14:paraId="3890CB44" w14:textId="77777777" w:rsidR="00441EC9" w:rsidRDefault="008A425C" w:rsidP="007F7B2C">
      <w:pPr>
        <w:pStyle w:val="Normal1"/>
        <w:widowControl w:val="0"/>
        <w:spacing w:after="160"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case was originally tried in the County Court of Summit, Ohio. During this trial, Mr. Davis and his daughter testified that Dr. Knapic admitted to them that he was responsible for Mrs. Davis’ demise after the operation and took responsibility for it. The jury found Dr. Knapic negligent and awarded a judgement of $3 million in damages. However, Dr. Knapic appealed the judgement in the Ninth Court of Appeals District of the Ohio State Court System arguing that Ohio State law prohibits a physician’s statement of sympathy as evidence in malpractice cases.  </w:t>
      </w:r>
    </w:p>
    <w:p w14:paraId="25D2CD97" w14:textId="77777777" w:rsidR="00441EC9" w:rsidRPr="008A425C" w:rsidRDefault="008A425C" w:rsidP="007F7B2C">
      <w:pPr>
        <w:pStyle w:val="Normal1"/>
        <w:widowControl w:val="0"/>
        <w:spacing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Issues</w:t>
      </w:r>
    </w:p>
    <w:p w14:paraId="2325E430" w14:textId="77777777" w:rsidR="00441EC9" w:rsidRDefault="008A425C" w:rsidP="007F7B2C">
      <w:pPr>
        <w:pStyle w:val="Normal1"/>
        <w:widowControl w:v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There are three issues in this case pertaining to Knapic’s appeal. The first is a substantive issue that pertains to the law of proposition, R.C. 2317.43 which prohibits the defendant’s statement of sympathy or condolence to be used. This issue lies within the interpretation of this law, where there is no distinction between expression of sympathy and the admissions of fault, as Dr. Kanpic had admitted full responsibility for. It brought an issue of including the statement of “it was my fault” while excluding the statement of “I’m sorry.” Seventeen of the 36 states with similar laws allows fault, but not expression of sympathy, while eight of the states have excluded both because the two are inadvertently related. In this case, the trial excluded any form of apology or sympathy in accordance with R.C. 2317.43, however, any admission of fault was was used in the trial court as the law doesn’t require this to be excluded. </w:t>
      </w:r>
    </w:p>
    <w:p w14:paraId="7FAFC01A" w14:textId="77777777" w:rsidR="00441EC9" w:rsidRDefault="008A425C" w:rsidP="007F7B2C">
      <w:pPr>
        <w:pStyle w:val="Normal1"/>
        <w:widowControl w:v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second substantive issue was under Evid.R. 403(A), which excludes relevant evidence on grounds of prejudice, confusion, or undue delay. Knapic argued that the autopsy photograph and the related testimony from the medical examiner was in violation of Evid.R. 403. He argued that they were biased and should be excluded, but since the images were relevant to Mrs. Davis’ death it was used in trail as probative value. Knapic brings up the Fifth District Court of Appeals’ decision in </w:t>
      </w:r>
      <w:r>
        <w:rPr>
          <w:rFonts w:ascii="Times New Roman" w:eastAsia="Times New Roman" w:hAnsi="Times New Roman" w:cs="Times New Roman"/>
          <w:i/>
          <w:sz w:val="24"/>
          <w:szCs w:val="24"/>
        </w:rPr>
        <w:t>Hiner v. Nationwide Mut. Ins. Co.</w:t>
      </w:r>
      <w:r>
        <w:rPr>
          <w:rFonts w:ascii="Times New Roman" w:eastAsia="Times New Roman" w:hAnsi="Times New Roman" w:cs="Times New Roman"/>
          <w:sz w:val="24"/>
          <w:szCs w:val="24"/>
        </w:rPr>
        <w:t>, 5th Dist. No. 2005CA00034, 2005-Ohio-6660, in support of excluding the photograph as was done in this court of trial, however, it was properly excluded under a different circumstance than his. Due to the inclusion of Mrs. Davis’ autopsy, Mr. Davis had relevant evidence of mental anguish and trauma.</w:t>
      </w:r>
    </w:p>
    <w:p w14:paraId="1469AE44" w14:textId="77777777" w:rsidR="00441EC9" w:rsidRDefault="008A425C" w:rsidP="007F7B2C">
      <w:pPr>
        <w:pStyle w:val="Normal1"/>
        <w:widowControl w:v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the subject of forbidding speculation of insurance, Knapic brought up a procedural issue in </w:t>
      </w:r>
      <w:r>
        <w:rPr>
          <w:rFonts w:ascii="Times New Roman" w:eastAsia="Times New Roman" w:hAnsi="Times New Roman" w:cs="Times New Roman"/>
          <w:i/>
          <w:sz w:val="24"/>
          <w:szCs w:val="24"/>
        </w:rPr>
        <w:t>Davis v. Wooster</w:t>
      </w:r>
      <w:r>
        <w:rPr>
          <w:rFonts w:ascii="Times New Roman" w:eastAsia="Times New Roman" w:hAnsi="Times New Roman" w:cs="Times New Roman"/>
          <w:sz w:val="24"/>
          <w:szCs w:val="24"/>
        </w:rPr>
        <w:t xml:space="preserve"> “that the trial court sua sponte offered a jury instruction on liability insurance that incorrectly injected extrajudicial evidence into the jury deliberation” (pp. 11). Mr. Davis further argues that the law was correctly conveyed, where speculation on insurance was averted by jurors, only taking into account the evidence. Knapic then brings up another csae, </w:t>
      </w:r>
      <w:r>
        <w:rPr>
          <w:rFonts w:ascii="Times New Roman" w:eastAsia="Times New Roman" w:hAnsi="Times New Roman" w:cs="Times New Roman"/>
          <w:i/>
          <w:sz w:val="24"/>
          <w:szCs w:val="24"/>
        </w:rPr>
        <w:t>4262 Robbins Ave. Restaurant Co. v. Slanco</w:t>
      </w:r>
      <w:r>
        <w:rPr>
          <w:rFonts w:ascii="Times New Roman" w:eastAsia="Times New Roman" w:hAnsi="Times New Roman" w:cs="Times New Roman"/>
          <w:sz w:val="24"/>
          <w:szCs w:val="24"/>
        </w:rPr>
        <w:t xml:space="preserve">, regarding speculation versus evidence. But again, this case was not similar of that, there was no improper testimony regarding liability insurance. Since the court’s instruction neither implied or not implied the liability insurance of the defendant, the statement of the jury was accurate. </w:t>
      </w:r>
    </w:p>
    <w:p w14:paraId="354F3441" w14:textId="77777777" w:rsidR="00441EC9" w:rsidRPr="008A425C" w:rsidRDefault="008A425C" w:rsidP="007F7B2C">
      <w:pPr>
        <w:pStyle w:val="Normal1"/>
        <w:widowControl w:val="0"/>
        <w:spacing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 xml:space="preserve">Judgement </w:t>
      </w:r>
    </w:p>
    <w:p w14:paraId="3A947B61" w14:textId="77777777" w:rsidR="00441EC9" w:rsidRDefault="008A425C" w:rsidP="007F7B2C">
      <w:pPr>
        <w:pStyle w:val="Normal1"/>
        <w:widowControl w:v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With the three issues at hand, the final judgement of the court was affirmed. The court decision was correct and will stand; there was no violation of R.C. 2317.43 or Evid.R. 403(A), and the speculation regarding insurance was overruled as the jury’s duty under the law was not improper. </w:t>
      </w:r>
    </w:p>
    <w:p w14:paraId="6D4E02F0" w14:textId="77777777" w:rsidR="00441EC9" w:rsidRPr="008A425C" w:rsidRDefault="008A425C" w:rsidP="007F7B2C">
      <w:pPr>
        <w:pStyle w:val="Normal1"/>
        <w:widowControl w:val="0"/>
        <w:spacing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Holding</w:t>
      </w:r>
    </w:p>
    <w:p w14:paraId="64D3B50F" w14:textId="77777777" w:rsidR="00441EC9" w:rsidRDefault="008A425C" w:rsidP="007F7B2C">
      <w:pPr>
        <w:pStyle w:val="Normal1"/>
        <w:widowControl w:val="0"/>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Mr. Davis and his daughter testified in court stating that Dr. Knapic told them that he has nicked Mrs. Davis’s artery and that he was sorry. The Court of Common Pleas, County of Summit, Ohio interpreted de novo and reviewed the evidence from the beginning. The apology statue in question was to be determined by “any and all statements, affirmations, gestures, or conduct expressing apology, sympathy, commiseration, condolence, compassion, or a general sense of benevolence that are made by a health care provider to the alleged victim, a relative of the alleged victim, or a representative of the alleged victim, and that relate to the discomfort, pain, suffering, injury, or death of the alleged victim as the result of the unanticipated outcome of medical care are inadmissible as evidence of an admission of liability or as evidence of an admission against interest.” The holding statement is to determine whether the term “apology” admits implications of fault or empathy. The court looked at all evidence, i.e. autopsy results, statements, and jury instructions.</w:t>
      </w:r>
    </w:p>
    <w:p w14:paraId="28D5F4AA" w14:textId="77777777" w:rsidR="00441EC9" w:rsidRPr="008A425C" w:rsidRDefault="008A425C" w:rsidP="007F7B2C">
      <w:pPr>
        <w:pStyle w:val="Normal1"/>
        <w:widowControl w:val="0"/>
        <w:spacing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Rule of Law</w:t>
      </w:r>
    </w:p>
    <w:p w14:paraId="3317ED08" w14:textId="77777777" w:rsidR="00441EC9" w:rsidRDefault="008A425C" w:rsidP="007F7B2C">
      <w:pPr>
        <w:pStyle w:val="Normal1"/>
        <w:widowControl w:val="0"/>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In Davis v. Wooster Orthopedics &amp; Sports Medicine, Inc. common law was used in the case to declare rule of law, under common law. Common law was applied by Judge Dickinson’s judgment to use previous cases in Ohio to establish the court's decision and award the plaintiffs $3 million. Under Rule 403 evidence was excluded, as there was no relevance of Dr. Knapics’ statement due to proper discretion of the autopsy results. Ohio’s Apology Law, R.C. 2317.43, preserved the statements of the plaintiff Mr. Davis and his daughter. However, the Jury never heard a statement from Dr. Knapic to explain his apology or hear sympathy, if applicable. Similar to the case State v. Hoffmeyer, 9th Dist. No. 23712, 2008-Ohio-2311, the admission of fault caused prejudgment to the defendant by the Jury.</w:t>
      </w:r>
    </w:p>
    <w:p w14:paraId="37ED2C7D" w14:textId="77777777" w:rsidR="00441EC9" w:rsidRPr="008A425C" w:rsidRDefault="008A425C" w:rsidP="007F7B2C">
      <w:pPr>
        <w:pStyle w:val="Normal1"/>
        <w:widowControl w:val="0"/>
        <w:spacing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Legal Principle Applied</w:t>
      </w:r>
    </w:p>
    <w:p w14:paraId="20D0966C" w14:textId="036BCD5B" w:rsidR="00441EC9" w:rsidRDefault="008A425C" w:rsidP="008A425C">
      <w:pPr>
        <w:pStyle w:val="Normal1"/>
        <w:widowControl w:val="0"/>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When addressing the legal principle applied to this case we saw that there were a few that were applied. The first one addressed covered the apology with e.g., Haw.Rev.Stat.Ann. 626-1 (West 2011), Commentary to Rule 409.5. According to the case “Under Ohio’s statute, a physician may speak with a patient and/or a patient’s family members and express his heartfelt sympathy for their pain following a negative outcome without risk of that expression of sympathy being used against him in court.” Furthermore, R.C. 2317.43 “does not require the exclusion of admissions of liability or fault by a medical professional.” The next legal principle applied dealt with the autopsy photo and if it was admissible in the case. State v. Hoffmeyer, 9th Dist. No. 23712, 2008-Ohio-2311, at ¶ 30, stated that “in its discretion, weigh the probative value of particular evidence against the danger that its admission will cause unfair prejudice.” Another legal principle applied to the autopsy photo portion of the appeal was State v. Wade, 2d Dist. No. 21530, 2007-Ohio-1060, at ¶ 35. This principle based that “autopsy photos are inherently prejudicial when they depict gruesome, graphic wounds, but when offered to prove elements of the offense that [the proponent] has the burden of proving, they are usually not unfairly prejudicial.” The final legal principle applied to this case had to do with the insurance. Ede v. Atrium S. OB-GYN Inc. (1994), 71 Ohio St.3d 124, 127 stated that “is naïve to believe that today’s jurors, bombarded for years with information about health care insurance, do not already assume in a malpractice case that the defendant doctor is covered by insurance.”</w:t>
      </w:r>
    </w:p>
    <w:p w14:paraId="7D276CFF" w14:textId="77777777" w:rsidR="00441EC9" w:rsidRPr="008A425C" w:rsidRDefault="008A425C" w:rsidP="007F7B2C">
      <w:pPr>
        <w:pStyle w:val="Normal1"/>
        <w:widowControl w:val="0"/>
        <w:spacing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 xml:space="preserve">Reasoning </w:t>
      </w:r>
    </w:p>
    <w:p w14:paraId="6C8D6294" w14:textId="77777777" w:rsidR="00441EC9" w:rsidRDefault="008A425C" w:rsidP="007F7B2C">
      <w:pPr>
        <w:pStyle w:val="Normal1"/>
        <w:widowControl w:v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reasoning behind the decision in this case was that statutes covering apologies were meant to protect physicians when they were truly providing condolences to families. In this case however, it was an admission of guilt and that is not covered under R.C. 2317.43. The reasoning went on to show that the admissibility of the autopsy was just in this case due to the fact that the circumstances of Mrs. Davis’ death were relevant to the case. Finally the jury instructions were found to be accurate because in today’s day and age it is expected that jurors would know that physicians would have malpractice insurance and that this would not be prejudicial information.</w:t>
      </w:r>
    </w:p>
    <w:p w14:paraId="070BAFFF" w14:textId="77777777" w:rsidR="00441EC9" w:rsidRPr="008A425C" w:rsidRDefault="008A425C" w:rsidP="007F7B2C">
      <w:pPr>
        <w:pStyle w:val="Normal1"/>
        <w:widowControl w:val="0"/>
        <w:spacing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Concurring/ Dissenting Opinions</w:t>
      </w:r>
    </w:p>
    <w:p w14:paraId="666B7039" w14:textId="77777777" w:rsidR="00441EC9" w:rsidRDefault="008A425C" w:rsidP="007F7B2C">
      <w:pPr>
        <w:pStyle w:val="Normal1"/>
        <w:widowControl w:v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case decision journal was authored by Judge Dickinson of the Ninth Judicial District court of appeals.   Judge Dickinson rules in favor of judgement affirmed and his ruling was concur by Belfance, P.J, and Moore, J.  There is no report of any dissenting opinions on this case of law.  </w:t>
      </w:r>
    </w:p>
    <w:p w14:paraId="42BD2974" w14:textId="77777777" w:rsidR="00441EC9" w:rsidRPr="008A425C" w:rsidRDefault="008A425C" w:rsidP="007F7B2C">
      <w:pPr>
        <w:pStyle w:val="Normal1"/>
        <w:widowControl w:val="0"/>
        <w:spacing w:line="480" w:lineRule="auto"/>
        <w:contextualSpacing w:val="0"/>
        <w:rPr>
          <w:rFonts w:ascii="Times New Roman" w:eastAsia="Times New Roman" w:hAnsi="Times New Roman" w:cs="Times New Roman"/>
          <w:b/>
          <w:sz w:val="24"/>
          <w:szCs w:val="24"/>
        </w:rPr>
      </w:pPr>
      <w:r w:rsidRPr="008A425C">
        <w:rPr>
          <w:rFonts w:ascii="Times New Roman" w:eastAsia="Times New Roman" w:hAnsi="Times New Roman" w:cs="Times New Roman"/>
          <w:b/>
          <w:sz w:val="24"/>
          <w:szCs w:val="24"/>
        </w:rPr>
        <w:t xml:space="preserve">Additional Comments - Personal or Group Impressions </w:t>
      </w:r>
    </w:p>
    <w:p w14:paraId="6DEC0C72" w14:textId="77777777" w:rsidR="00441EC9" w:rsidRDefault="008A425C" w:rsidP="007F7B2C">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The ninth district court of appeal ruled in favor of the judgment of the Summit County Common Pleas Court, which awarded Mr. Davis $3 million in damages.  Mr. Knapic’s appeals were absurd and unjustifiable.  Based on the evidence presented in this case Mr. Knapic was in deed negligent and lack of attentiveness cost Mrs. Davis her life.  We believe the attempt at appeals were Mr. Knapic’s way of trying to save his reputation and to eliminate the cost from his own pocket.   The amount of money awarded to Mr. Davis would allow him and his family to move forward in life.   We are in favor of Mr. Davis receiving the $3 million in damages.  The ninth district court appeals were justified in their ruling to uphold the judgement from Summit County Common Pleas Court.</w:t>
      </w:r>
      <w:r>
        <w:br w:type="page"/>
      </w:r>
    </w:p>
    <w:p w14:paraId="13A6724B" w14:textId="54FACE7C" w:rsidR="00441EC9" w:rsidRDefault="00597458" w:rsidP="00CD0084">
      <w:pPr>
        <w:pStyle w:val="Normal1"/>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737B6AE7" w14:textId="77777777" w:rsidR="00441EC9" w:rsidRDefault="008A425C" w:rsidP="007F7B2C">
      <w:pPr>
        <w:pStyle w:val="Normal1"/>
        <w:spacing w:line="48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v. Wooster Orthopaedics &amp; Sports Medicine, Inc., 193 Ohio App.3d 581, 2011-Ohio-3199. Retrieved from: </w:t>
      </w:r>
      <w:hyperlink r:id="rId7">
        <w:r>
          <w:rPr>
            <w:rFonts w:ascii="Times New Roman" w:eastAsia="Times New Roman" w:hAnsi="Times New Roman" w:cs="Times New Roman"/>
            <w:color w:val="1155CC"/>
            <w:sz w:val="24"/>
            <w:szCs w:val="24"/>
            <w:u w:val="single"/>
          </w:rPr>
          <w:t>https://www.supremecourt.ohio.gov/rod/docs/pdf/9/2011/2011-ohio-3199.pdf</w:t>
        </w:r>
      </w:hyperlink>
      <w:r>
        <w:rPr>
          <w:rFonts w:ascii="Times New Roman" w:eastAsia="Times New Roman" w:hAnsi="Times New Roman" w:cs="Times New Roman"/>
          <w:sz w:val="24"/>
          <w:szCs w:val="24"/>
        </w:rPr>
        <w:t xml:space="preserve"> </w:t>
      </w:r>
    </w:p>
    <w:p w14:paraId="60C120F1" w14:textId="77777777" w:rsidR="00441EC9" w:rsidRDefault="008A425C" w:rsidP="007F7B2C">
      <w:pPr>
        <w:pStyle w:val="Normal1"/>
        <w:spacing w:line="48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Fremgen, B. F. (2016). </w:t>
      </w:r>
      <w:r>
        <w:rPr>
          <w:rFonts w:ascii="Times New Roman" w:eastAsia="Times New Roman" w:hAnsi="Times New Roman" w:cs="Times New Roman"/>
          <w:i/>
          <w:sz w:val="24"/>
          <w:szCs w:val="24"/>
        </w:rPr>
        <w:t>Medical laws and ethics</w:t>
      </w:r>
      <w:r>
        <w:rPr>
          <w:rFonts w:ascii="Times New Roman" w:eastAsia="Times New Roman" w:hAnsi="Times New Roman" w:cs="Times New Roman"/>
          <w:sz w:val="24"/>
          <w:szCs w:val="24"/>
        </w:rPr>
        <w:t>. Boston: Pearson Education Inc.</w:t>
      </w:r>
    </w:p>
    <w:p w14:paraId="6C19B5A9" w14:textId="77777777" w:rsidR="00441EC9" w:rsidRDefault="008A425C" w:rsidP="007F7B2C">
      <w:pPr>
        <w:pStyle w:val="Normal1"/>
        <w:spacing w:line="48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State v. Hoffmeyer, 9th Dist. No. 23712, 2008-Ohio-2311.</w:t>
      </w:r>
    </w:p>
    <w:p w14:paraId="315AF4C1" w14:textId="77777777" w:rsidR="00441EC9" w:rsidRDefault="00441EC9" w:rsidP="007F7B2C">
      <w:pPr>
        <w:pStyle w:val="Normal1"/>
        <w:spacing w:after="160" w:line="480" w:lineRule="auto"/>
        <w:contextualSpacing w:val="0"/>
        <w:rPr>
          <w:rFonts w:ascii="Times New Roman" w:eastAsia="Times New Roman" w:hAnsi="Times New Roman" w:cs="Times New Roman"/>
          <w:sz w:val="24"/>
          <w:szCs w:val="24"/>
        </w:rPr>
      </w:pPr>
    </w:p>
    <w:sectPr w:rsidR="00441EC9">
      <w:headerReference w:type="default" r:id="rId8"/>
      <w:headerReference w:type="first" r:id="rId9"/>
      <w:footerReference w:type="firs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88F8D" w14:textId="77777777" w:rsidR="003D2BC3" w:rsidRDefault="003D2BC3">
      <w:pPr>
        <w:spacing w:line="240" w:lineRule="auto"/>
      </w:pPr>
      <w:r>
        <w:separator/>
      </w:r>
    </w:p>
  </w:endnote>
  <w:endnote w:type="continuationSeparator" w:id="0">
    <w:p w14:paraId="0BC7A22A" w14:textId="77777777" w:rsidR="003D2BC3" w:rsidRDefault="003D2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7092" w14:textId="77777777" w:rsidR="00441EC9" w:rsidRDefault="00441EC9">
    <w:pPr>
      <w:pStyle w:val="Normal1"/>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AC230" w14:textId="77777777" w:rsidR="003D2BC3" w:rsidRDefault="003D2BC3">
      <w:pPr>
        <w:spacing w:line="240" w:lineRule="auto"/>
      </w:pPr>
      <w:r>
        <w:separator/>
      </w:r>
    </w:p>
  </w:footnote>
  <w:footnote w:type="continuationSeparator" w:id="0">
    <w:p w14:paraId="543B8414" w14:textId="77777777" w:rsidR="003D2BC3" w:rsidRDefault="003D2B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90ED" w14:textId="77777777" w:rsidR="00441EC9" w:rsidRDefault="00441EC9">
    <w:pPr>
      <w:pStyle w:val="Normal1"/>
      <w:contextualSpacing w:val="0"/>
      <w:rPr>
        <w:rFonts w:ascii="Times New Roman" w:eastAsia="Times New Roman" w:hAnsi="Times New Roman" w:cs="Times New Roman"/>
        <w:sz w:val="24"/>
        <w:szCs w:val="24"/>
      </w:rPr>
    </w:pPr>
  </w:p>
  <w:p w14:paraId="5CDCCDEE" w14:textId="77777777" w:rsidR="00441EC9" w:rsidRDefault="00441EC9">
    <w:pPr>
      <w:pStyle w:val="Normal1"/>
      <w:contextualSpacing w:val="0"/>
      <w:rPr>
        <w:rFonts w:ascii="Times New Roman" w:eastAsia="Times New Roman" w:hAnsi="Times New Roman" w:cs="Times New Roman"/>
        <w:sz w:val="24"/>
        <w:szCs w:val="24"/>
      </w:rPr>
    </w:pPr>
  </w:p>
  <w:p w14:paraId="1DD50ACA" w14:textId="2DB16414" w:rsidR="00441EC9" w:rsidRDefault="008A425C">
    <w:pPr>
      <w:pStyle w:val="Normal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BRIEF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009EC">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BBA7" w14:textId="77777777" w:rsidR="00441EC9" w:rsidRDefault="00441EC9">
    <w:pPr>
      <w:pStyle w:val="Normal1"/>
      <w:contextualSpacing w:val="0"/>
      <w:rPr>
        <w:rFonts w:ascii="Times New Roman" w:eastAsia="Times New Roman" w:hAnsi="Times New Roman" w:cs="Times New Roman"/>
        <w:sz w:val="24"/>
        <w:szCs w:val="24"/>
      </w:rPr>
    </w:pPr>
  </w:p>
  <w:p w14:paraId="0559BA9B" w14:textId="77777777" w:rsidR="00441EC9" w:rsidRDefault="00441EC9">
    <w:pPr>
      <w:pStyle w:val="Normal1"/>
      <w:contextualSpacing w:val="0"/>
      <w:rPr>
        <w:rFonts w:ascii="Times New Roman" w:eastAsia="Times New Roman" w:hAnsi="Times New Roman" w:cs="Times New Roman"/>
        <w:sz w:val="24"/>
        <w:szCs w:val="24"/>
      </w:rPr>
    </w:pPr>
  </w:p>
  <w:p w14:paraId="5E5883FB" w14:textId="43D33638" w:rsidR="00441EC9" w:rsidRDefault="008A425C">
    <w:pPr>
      <w:pStyle w:val="Normal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HEAD: CASE BRIEF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009EC">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C9"/>
    <w:rsid w:val="000A1B11"/>
    <w:rsid w:val="003A66A1"/>
    <w:rsid w:val="003D2BC3"/>
    <w:rsid w:val="00441EC9"/>
    <w:rsid w:val="004906DF"/>
    <w:rsid w:val="004B59FD"/>
    <w:rsid w:val="004E3B95"/>
    <w:rsid w:val="00597458"/>
    <w:rsid w:val="005D1AAC"/>
    <w:rsid w:val="006E794A"/>
    <w:rsid w:val="007F7B2C"/>
    <w:rsid w:val="008A425C"/>
    <w:rsid w:val="009009EC"/>
    <w:rsid w:val="00CD0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1DBAD"/>
  <w15:docId w15:val="{0D3C24B2-748C-DA43-9AE5-1204F5D6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premecourt.ohio.gov/rod/docs/pdf/9/2011/2011-ohio-319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331BE-F72C-4957-857A-0BB1B681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Ramello</dc:creator>
  <cp:lastModifiedBy>Rebecca Ramirez</cp:lastModifiedBy>
  <cp:revision>2</cp:revision>
  <dcterms:created xsi:type="dcterms:W3CDTF">2020-01-13T06:43:00Z</dcterms:created>
  <dcterms:modified xsi:type="dcterms:W3CDTF">2020-01-13T06:43:00Z</dcterms:modified>
</cp:coreProperties>
</file>