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7F1AF" w14:textId="71F5CD68" w:rsidR="00151426" w:rsidRDefault="00151426" w:rsidP="00151426">
      <w:pPr>
        <w:pStyle w:val="NoSpacing"/>
        <w:tabs>
          <w:tab w:val="left" w:pos="735"/>
          <w:tab w:val="center" w:pos="4680"/>
          <w:tab w:val="left" w:pos="8130"/>
        </w:tabs>
        <w:rPr>
          <w:rFonts w:ascii="Times New Roman" w:hAnsi="Times New Roman" w:cs="Times New Roman"/>
          <w:b/>
          <w:bCs/>
          <w:sz w:val="36"/>
          <w:szCs w:val="36"/>
          <w:u w:val="single"/>
        </w:rPr>
      </w:pPr>
      <w:r>
        <w:rPr>
          <w:rFonts w:ascii="Times New Roman" w:hAnsi="Times New Roman" w:cs="Times New Roman"/>
          <w:b/>
          <w:bCs/>
          <w:sz w:val="36"/>
          <w:szCs w:val="36"/>
          <w:u w:val="single"/>
        </w:rPr>
        <w:t xml:space="preserve">ONE SHORT CASE </w:t>
      </w:r>
      <w:proofErr w:type="spellStart"/>
      <w:r>
        <w:rPr>
          <w:rFonts w:ascii="Times New Roman" w:hAnsi="Times New Roman" w:cs="Times New Roman"/>
          <w:b/>
          <w:bCs/>
          <w:sz w:val="36"/>
          <w:szCs w:val="36"/>
          <w:u w:val="single"/>
        </w:rPr>
        <w:t>STUD</w:t>
      </w:r>
      <w:r>
        <w:rPr>
          <w:rFonts w:ascii="Times New Roman" w:hAnsi="Times New Roman" w:cs="Times New Roman"/>
          <w:b/>
          <w:bCs/>
          <w:sz w:val="36"/>
          <w:szCs w:val="36"/>
          <w:u w:val="single"/>
        </w:rPr>
        <w:t>y</w:t>
      </w:r>
      <w:proofErr w:type="spellEnd"/>
      <w:r>
        <w:rPr>
          <w:rFonts w:ascii="Times New Roman" w:hAnsi="Times New Roman" w:cs="Times New Roman"/>
          <w:b/>
          <w:bCs/>
          <w:sz w:val="36"/>
          <w:szCs w:val="36"/>
          <w:u w:val="single"/>
        </w:rPr>
        <w:t xml:space="preserve">. NO WORD COUNT AS LONG AS THE ANSWERS ARE ANSWERED PROPERLY. </w:t>
      </w:r>
    </w:p>
    <w:p w14:paraId="342FA12A" w14:textId="77777777" w:rsidR="00151426" w:rsidRDefault="00151426" w:rsidP="00151426">
      <w:pPr>
        <w:pStyle w:val="NoSpacing"/>
        <w:tabs>
          <w:tab w:val="left" w:pos="735"/>
          <w:tab w:val="center" w:pos="4680"/>
          <w:tab w:val="left" w:pos="8130"/>
        </w:tabs>
        <w:rPr>
          <w:rFonts w:ascii="Times New Roman" w:hAnsi="Times New Roman" w:cs="Times New Roman"/>
          <w:b/>
          <w:bCs/>
          <w:sz w:val="36"/>
          <w:szCs w:val="36"/>
          <w:u w:val="single"/>
        </w:rPr>
      </w:pPr>
    </w:p>
    <w:p w14:paraId="224692E3" w14:textId="77777777" w:rsidR="00151426" w:rsidRDefault="00151426" w:rsidP="00151426">
      <w:pPr>
        <w:pStyle w:val="NoSpacing"/>
        <w:tabs>
          <w:tab w:val="left" w:pos="735"/>
          <w:tab w:val="center" w:pos="4680"/>
          <w:tab w:val="left" w:pos="8130"/>
        </w:tabs>
        <w:rPr>
          <w:rFonts w:ascii="Times New Roman" w:hAnsi="Times New Roman" w:cs="Times New Roman"/>
          <w:b/>
          <w:bCs/>
          <w:sz w:val="36"/>
          <w:szCs w:val="36"/>
          <w:u w:val="single"/>
        </w:rPr>
      </w:pPr>
      <w:r>
        <w:rPr>
          <w:rFonts w:ascii="Times New Roman" w:hAnsi="Times New Roman" w:cs="Times New Roman"/>
          <w:b/>
          <w:bCs/>
          <w:sz w:val="36"/>
          <w:szCs w:val="36"/>
          <w:u w:val="single"/>
        </w:rPr>
        <w:t xml:space="preserve">Required </w:t>
      </w:r>
      <w:proofErr w:type="gramStart"/>
      <w:r>
        <w:rPr>
          <w:rFonts w:ascii="Times New Roman" w:hAnsi="Times New Roman" w:cs="Times New Roman"/>
          <w:b/>
          <w:bCs/>
          <w:sz w:val="36"/>
          <w:szCs w:val="36"/>
          <w:u w:val="single"/>
        </w:rPr>
        <w:t>text book</w:t>
      </w:r>
      <w:proofErr w:type="gramEnd"/>
      <w:r>
        <w:rPr>
          <w:rFonts w:ascii="Times New Roman" w:hAnsi="Times New Roman" w:cs="Times New Roman"/>
          <w:b/>
          <w:bCs/>
          <w:sz w:val="36"/>
          <w:szCs w:val="36"/>
          <w:u w:val="single"/>
        </w:rPr>
        <w:t xml:space="preserve">: </w:t>
      </w:r>
      <w:r>
        <w:rPr>
          <w:rFonts w:ascii="Times New Roman" w:hAnsi="Times New Roman" w:cs="Times New Roman"/>
          <w:b/>
          <w:bCs/>
          <w:noProof/>
          <w:sz w:val="36"/>
          <w:szCs w:val="36"/>
          <w:u w:val="single"/>
        </w:rPr>
        <w:drawing>
          <wp:inline distT="0" distB="0" distL="0" distR="0" wp14:anchorId="087DE503" wp14:editId="60C74FB2">
            <wp:extent cx="1752600" cy="2244436"/>
            <wp:effectExtent l="0" t="0" r="0" b="3810"/>
            <wp:docPr id="3" name="Picture 3" descr="A picture containing text, newspape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newspaper, screensho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62996" cy="2257750"/>
                    </a:xfrm>
                    <a:prstGeom prst="rect">
                      <a:avLst/>
                    </a:prstGeom>
                    <a:noFill/>
                  </pic:spPr>
                </pic:pic>
              </a:graphicData>
            </a:graphic>
          </wp:inline>
        </w:drawing>
      </w:r>
    </w:p>
    <w:p w14:paraId="0BC40087" w14:textId="77777777" w:rsidR="000E44ED" w:rsidRPr="000E44ED" w:rsidRDefault="000E44ED" w:rsidP="000E44ED">
      <w:pPr>
        <w:spacing w:after="0" w:line="240" w:lineRule="auto"/>
        <w:outlineLvl w:val="0"/>
        <w:rPr>
          <w:rFonts w:ascii="Helvetica" w:eastAsia="Times New Roman" w:hAnsi="Helvetica" w:cs="Times New Roman"/>
          <w:b/>
          <w:bCs/>
          <w:color w:val="C1510A"/>
          <w:kern w:val="36"/>
          <w:sz w:val="48"/>
          <w:szCs w:val="48"/>
        </w:rPr>
      </w:pPr>
      <w:r w:rsidRPr="000E44ED">
        <w:rPr>
          <w:rFonts w:ascii="Helvetica" w:eastAsia="Times New Roman" w:hAnsi="Helvetica" w:cs="Times New Roman"/>
          <w:b/>
          <w:bCs/>
          <w:color w:val="C1510A"/>
          <w:kern w:val="36"/>
          <w:sz w:val="48"/>
          <w:szCs w:val="48"/>
        </w:rPr>
        <w:t>Hardy Hospital Case Study</w:t>
      </w:r>
    </w:p>
    <w:p w14:paraId="79550538" w14:textId="77777777" w:rsidR="000E44ED" w:rsidRPr="000E44ED" w:rsidRDefault="000E44ED" w:rsidP="000E44ED">
      <w:pPr>
        <w:spacing w:before="100" w:beforeAutospacing="1" w:after="100" w:afterAutospacing="1" w:line="240" w:lineRule="auto"/>
        <w:rPr>
          <w:rFonts w:ascii="Arial" w:eastAsia="Times New Roman" w:hAnsi="Arial" w:cs="Arial"/>
          <w:color w:val="3F3F3F"/>
          <w:sz w:val="24"/>
          <w:szCs w:val="24"/>
        </w:rPr>
      </w:pPr>
      <w:r w:rsidRPr="000E44ED">
        <w:rPr>
          <w:rFonts w:ascii="Arial" w:eastAsia="Times New Roman" w:hAnsi="Arial" w:cs="Arial"/>
          <w:color w:val="3F3F3F"/>
          <w:sz w:val="24"/>
          <w:szCs w:val="24"/>
        </w:rPr>
        <w:t xml:space="preserve">Caroline Highgrove, Hardy Hospital’s director of materials management, glanced at the papers spread across her desk. She wondered where the week had gone. On Monday, the director of university operations, Drew Paris, had asked Caroline to </w:t>
      </w:r>
      <w:proofErr w:type="gramStart"/>
      <w:r w:rsidRPr="000E44ED">
        <w:rPr>
          <w:rFonts w:ascii="Arial" w:eastAsia="Times New Roman" w:hAnsi="Arial" w:cs="Arial"/>
          <w:color w:val="3F3F3F"/>
          <w:sz w:val="24"/>
          <w:szCs w:val="24"/>
        </w:rPr>
        <w:t>look into</w:t>
      </w:r>
      <w:proofErr w:type="gramEnd"/>
      <w:r w:rsidRPr="000E44ED">
        <w:rPr>
          <w:rFonts w:ascii="Arial" w:eastAsia="Times New Roman" w:hAnsi="Arial" w:cs="Arial"/>
          <w:color w:val="3F3F3F"/>
          <w:sz w:val="24"/>
          <w:szCs w:val="24"/>
        </w:rPr>
        <w:t xml:space="preserve"> the purchasing and supplies systems for the hospital. Drew specifically wanted Caroline to evaluate the current materials-management system, identify ways to reduce costs, and recommend a final plan of action. Drew explained that the university was under pressure to cut expenses, and hospital inventory did not seem to be under control.</w:t>
      </w:r>
    </w:p>
    <w:p w14:paraId="4DB62ECD" w14:textId="77777777" w:rsidR="000E44ED" w:rsidRPr="000E44ED" w:rsidRDefault="000E44ED" w:rsidP="000E44ED">
      <w:pPr>
        <w:spacing w:before="100" w:beforeAutospacing="1" w:after="100" w:afterAutospacing="1" w:line="240" w:lineRule="auto"/>
        <w:rPr>
          <w:rFonts w:ascii="Arial" w:eastAsia="Times New Roman" w:hAnsi="Arial" w:cs="Arial"/>
          <w:color w:val="3F3F3F"/>
          <w:sz w:val="24"/>
          <w:szCs w:val="24"/>
        </w:rPr>
      </w:pPr>
      <w:r w:rsidRPr="000E44ED">
        <w:rPr>
          <w:rFonts w:ascii="Arial" w:eastAsia="Times New Roman" w:hAnsi="Arial" w:cs="Arial"/>
          <w:color w:val="3F3F3F"/>
          <w:sz w:val="24"/>
          <w:szCs w:val="24"/>
        </w:rPr>
        <w:t>As Caroline reviewed her notes, she was struck by the variations in order sizes and order frequencies for the hospital’s stock-keeping units (SKUs). For some SKUs, inventory ran out before new orders came in, whereas for other SKUs, excessively high stock levels were being carried. The university and hospital’s computerized materials-management system was about a decade old and generally worked well; however, employees often ignored or did not update key information. Thus, data integrity was a major problem in this information system.</w:t>
      </w:r>
    </w:p>
    <w:p w14:paraId="612E593E" w14:textId="77777777" w:rsidR="000E44ED" w:rsidRPr="000E44ED" w:rsidRDefault="000E44ED" w:rsidP="000E44ED">
      <w:pPr>
        <w:spacing w:before="100" w:beforeAutospacing="1" w:after="100" w:afterAutospacing="1" w:line="240" w:lineRule="auto"/>
        <w:rPr>
          <w:rFonts w:ascii="Arial" w:eastAsia="Times New Roman" w:hAnsi="Arial" w:cs="Arial"/>
          <w:color w:val="3F3F3F"/>
          <w:sz w:val="24"/>
          <w:szCs w:val="24"/>
        </w:rPr>
      </w:pPr>
      <w:r w:rsidRPr="000E44ED">
        <w:rPr>
          <w:rFonts w:ascii="Arial" w:eastAsia="Times New Roman" w:hAnsi="Arial" w:cs="Arial"/>
          <w:color w:val="3F3F3F"/>
          <w:sz w:val="24"/>
          <w:szCs w:val="24"/>
        </w:rPr>
        <w:t>Hospital and university supply orders were classified as either </w:t>
      </w:r>
      <w:r w:rsidRPr="000E44ED">
        <w:rPr>
          <w:rFonts w:ascii="Arial" w:eastAsia="Times New Roman" w:hAnsi="Arial" w:cs="Arial"/>
          <w:i/>
          <w:iCs/>
          <w:color w:val="3F3F3F"/>
          <w:sz w:val="24"/>
          <w:szCs w:val="24"/>
        </w:rPr>
        <w:t>regular stock</w:t>
      </w:r>
      <w:r w:rsidRPr="000E44ED">
        <w:rPr>
          <w:rFonts w:ascii="Arial" w:eastAsia="Times New Roman" w:hAnsi="Arial" w:cs="Arial"/>
          <w:color w:val="3F3F3F"/>
          <w:sz w:val="24"/>
          <w:szCs w:val="24"/>
        </w:rPr>
        <w:t> or </w:t>
      </w:r>
      <w:r w:rsidRPr="000E44ED">
        <w:rPr>
          <w:rFonts w:ascii="Arial" w:eastAsia="Times New Roman" w:hAnsi="Arial" w:cs="Arial"/>
          <w:i/>
          <w:iCs/>
          <w:color w:val="3F3F3F"/>
          <w:sz w:val="24"/>
          <w:szCs w:val="24"/>
        </w:rPr>
        <w:t>special order</w:t>
      </w:r>
      <w:r w:rsidRPr="000E44ED">
        <w:rPr>
          <w:rFonts w:ascii="Arial" w:eastAsia="Times New Roman" w:hAnsi="Arial" w:cs="Arial"/>
          <w:color w:val="3F3F3F"/>
          <w:sz w:val="24"/>
          <w:szCs w:val="24"/>
        </w:rPr>
        <w:t>. The hospital was the originator of almost all special orders. </w:t>
      </w:r>
      <w:r w:rsidRPr="000E44ED">
        <w:rPr>
          <w:rFonts w:ascii="Arial" w:eastAsia="Times New Roman" w:hAnsi="Arial" w:cs="Arial"/>
          <w:i/>
          <w:iCs/>
          <w:color w:val="3F3F3F"/>
          <w:sz w:val="24"/>
          <w:szCs w:val="24"/>
        </w:rPr>
        <w:t>Regular stock items</w:t>
      </w:r>
      <w:r w:rsidRPr="000E44ED">
        <w:rPr>
          <w:rFonts w:ascii="Arial" w:eastAsia="Times New Roman" w:hAnsi="Arial" w:cs="Arial"/>
          <w:color w:val="3F3F3F"/>
          <w:sz w:val="24"/>
          <w:szCs w:val="24"/>
        </w:rPr>
        <w:t>, such as bed sheets, uniforms, and syringes, were characterized by their long-standing and frequent use throughout the university and hospital, and by a low risk of obsolescence. When a department needed a regular stock item, that department generally ordered (requisitioned) the item. If the item was in stock, it would be delivered to the department by the next delivery date.</w:t>
      </w:r>
    </w:p>
    <w:p w14:paraId="4A229982" w14:textId="1FF466CD" w:rsidR="000E44ED" w:rsidRPr="000E44ED" w:rsidRDefault="000E44ED" w:rsidP="000E44ED">
      <w:pPr>
        <w:spacing w:after="0" w:line="240" w:lineRule="auto"/>
        <w:rPr>
          <w:rFonts w:ascii="Times New Roman" w:eastAsia="Times New Roman" w:hAnsi="Times New Roman" w:cs="Times New Roman"/>
          <w:sz w:val="24"/>
          <w:szCs w:val="24"/>
        </w:rPr>
      </w:pPr>
    </w:p>
    <w:p w14:paraId="2C67DEFA" w14:textId="77777777" w:rsidR="000E44ED" w:rsidRPr="000E44ED" w:rsidRDefault="000E44ED" w:rsidP="000E44ED">
      <w:pPr>
        <w:spacing w:after="150" w:line="300" w:lineRule="atLeast"/>
        <w:jc w:val="center"/>
        <w:rPr>
          <w:rFonts w:ascii="Times New Roman" w:eastAsia="Times New Roman" w:hAnsi="Times New Roman" w:cs="Times New Roman"/>
          <w:color w:val="3F3F3F"/>
          <w:sz w:val="24"/>
          <w:szCs w:val="24"/>
        </w:rPr>
      </w:pPr>
      <w:r w:rsidRPr="000E44ED">
        <w:rPr>
          <w:rFonts w:ascii="Times New Roman" w:eastAsia="Times New Roman" w:hAnsi="Times New Roman" w:cs="Times New Roman"/>
          <w:color w:val="3F3F3F"/>
          <w:sz w:val="24"/>
          <w:szCs w:val="24"/>
        </w:rPr>
        <w:t>sirtravelalot/Shutterstock.com</w:t>
      </w:r>
    </w:p>
    <w:p w14:paraId="27E1F2FD" w14:textId="77777777" w:rsidR="000E44ED" w:rsidRPr="000E44ED" w:rsidRDefault="000E44ED" w:rsidP="000E44ED">
      <w:pPr>
        <w:shd w:val="clear" w:color="auto" w:fill="ECECEC"/>
        <w:spacing w:before="100" w:beforeAutospacing="1" w:after="100" w:afterAutospacing="1" w:line="240" w:lineRule="auto"/>
        <w:rPr>
          <w:rFonts w:ascii="Arial" w:eastAsia="Times New Roman" w:hAnsi="Arial" w:cs="Arial"/>
          <w:color w:val="3F3F3F"/>
          <w:sz w:val="24"/>
          <w:szCs w:val="24"/>
        </w:rPr>
      </w:pPr>
      <w:r w:rsidRPr="000E44ED">
        <w:rPr>
          <w:rFonts w:ascii="Arial" w:eastAsia="Times New Roman" w:hAnsi="Arial" w:cs="Arial"/>
          <w:color w:val="3F3F3F"/>
          <w:sz w:val="24"/>
          <w:szCs w:val="24"/>
        </w:rPr>
        <w:t>Regular stock items were characterized by their long-standing and frequent use throughout the hospital.</w:t>
      </w:r>
    </w:p>
    <w:p w14:paraId="2233A968" w14:textId="77777777" w:rsidR="000E44ED" w:rsidRPr="000E44ED" w:rsidRDefault="000E44ED" w:rsidP="000E44ED">
      <w:pPr>
        <w:spacing w:before="100" w:beforeAutospacing="1" w:after="100" w:afterAutospacing="1" w:line="240" w:lineRule="auto"/>
        <w:rPr>
          <w:rFonts w:ascii="Arial" w:eastAsia="Times New Roman" w:hAnsi="Arial" w:cs="Arial"/>
          <w:color w:val="3F3F3F"/>
          <w:sz w:val="24"/>
          <w:szCs w:val="24"/>
        </w:rPr>
      </w:pPr>
      <w:r w:rsidRPr="000E44ED">
        <w:rPr>
          <w:rFonts w:ascii="Arial" w:eastAsia="Times New Roman" w:hAnsi="Arial" w:cs="Arial"/>
          <w:color w:val="3F3F3F"/>
          <w:sz w:val="24"/>
          <w:szCs w:val="24"/>
        </w:rPr>
        <w:t>When the university did not normally stock an item, individual hospital departments could special-order them. Special-order items were supposed to be those of an experimental nature or critical to patient health care, but not used frequently. Hospital departments requiring these special items bypassed the university purchasing system. Once a special order was placed, the hospital department informed university purchasing so that it could eventually authorize payment on the vendor’s invoice. Hospital department coordinators, doctors, or head nurses were responsible for initiating and/or authorizing special orders. In total, these special orders required a significant amount of work that took department coordinators and head nurses away from their duties. University purchasing kept no records on the hospital’s special-order inventories or for the 215 secondary hospital stocking points such as exam rooms and moveable carts.</w:t>
      </w:r>
    </w:p>
    <w:p w14:paraId="32F6B7ED" w14:textId="77777777" w:rsidR="000E44ED" w:rsidRPr="000E44ED" w:rsidRDefault="000E44ED" w:rsidP="000E44ED">
      <w:pPr>
        <w:spacing w:before="100" w:beforeAutospacing="1" w:after="100" w:afterAutospacing="1" w:line="240" w:lineRule="auto"/>
        <w:rPr>
          <w:rFonts w:ascii="Arial" w:eastAsia="Times New Roman" w:hAnsi="Arial" w:cs="Arial"/>
          <w:color w:val="3F3F3F"/>
          <w:sz w:val="24"/>
          <w:szCs w:val="24"/>
        </w:rPr>
      </w:pPr>
      <w:r w:rsidRPr="000E44ED">
        <w:rPr>
          <w:rFonts w:ascii="Arial" w:eastAsia="Times New Roman" w:hAnsi="Arial" w:cs="Arial"/>
          <w:color w:val="3F3F3F"/>
          <w:sz w:val="24"/>
          <w:szCs w:val="24"/>
        </w:rPr>
        <w:t>One department’s head nurse explained that many departments were afraid of running out of regular stock items. University purchasing didn’t understand the importance and nature of hospital inventory, and they were slow to respond. The nurse cited the months-long period university purchasing process needed to place new items on the regular stock list, and the long lead times sometimes involved in receiving orders requisitioned from the university’s approved vendor list.</w:t>
      </w:r>
    </w:p>
    <w:p w14:paraId="3DFABAF7" w14:textId="77777777" w:rsidR="000E44ED" w:rsidRPr="000E44ED" w:rsidRDefault="000E44ED" w:rsidP="000E44ED">
      <w:pPr>
        <w:spacing w:before="100" w:beforeAutospacing="1" w:after="100" w:afterAutospacing="1" w:line="240" w:lineRule="auto"/>
        <w:rPr>
          <w:rFonts w:ascii="Arial" w:eastAsia="Times New Roman" w:hAnsi="Arial" w:cs="Arial"/>
          <w:color w:val="3F3F3F"/>
          <w:sz w:val="24"/>
          <w:szCs w:val="24"/>
        </w:rPr>
      </w:pPr>
      <w:r w:rsidRPr="000E44ED">
        <w:rPr>
          <w:rFonts w:ascii="Arial" w:eastAsia="Times New Roman" w:hAnsi="Arial" w:cs="Arial"/>
          <w:color w:val="3F3F3F"/>
          <w:sz w:val="24"/>
          <w:szCs w:val="24"/>
        </w:rPr>
        <w:t>Because the university was a state institution, strict bidding and purchasing procedures had to be followed for both regular stock and special orders. For example, three written bids were required for an individual order of $2,000 or more. The processing of these bids often took up to 2 months. For orders between $800 and $1,999, three telephone bids were necessary. In these situations, purchases could be made only from the lowest bidder. Orders under $800, or items on the state contract list, could be ordered over the phone, without any bids. State contract list items were those for which statewide needs had been combined and one contract left to cover all of them.</w:t>
      </w:r>
    </w:p>
    <w:p w14:paraId="56E37497" w14:textId="77777777" w:rsidR="000E44ED" w:rsidRPr="000E44ED" w:rsidRDefault="000E44ED" w:rsidP="000E44ED">
      <w:pPr>
        <w:spacing w:before="100" w:beforeAutospacing="1" w:after="100" w:afterAutospacing="1" w:line="240" w:lineRule="auto"/>
        <w:rPr>
          <w:rFonts w:ascii="Arial" w:eastAsia="Times New Roman" w:hAnsi="Arial" w:cs="Arial"/>
          <w:color w:val="3F3F3F"/>
          <w:sz w:val="24"/>
          <w:szCs w:val="24"/>
        </w:rPr>
      </w:pPr>
      <w:r w:rsidRPr="000E44ED">
        <w:rPr>
          <w:rFonts w:ascii="Arial" w:eastAsia="Times New Roman" w:hAnsi="Arial" w:cs="Arial"/>
          <w:color w:val="3F3F3F"/>
          <w:sz w:val="24"/>
          <w:szCs w:val="24"/>
        </w:rPr>
        <w:t>Caroline had gathered information on the costs of ordering and storing hospital supplies. For order costs, she estimated that, on average, the purchasing, account payables, and receiving personnel spent three hours processing a single purchase order. A single purchase order typically included four SKUs (i.e., each SKU on a purchase order was called a line item). The average hospital storeroom’s wage was $18.50 an hour; with employee benefits and associated overhead, the cost of one worker-hour came to $24.</w:t>
      </w:r>
    </w:p>
    <w:p w14:paraId="6EFC9D0B" w14:textId="77777777" w:rsidR="000E44ED" w:rsidRPr="000E44ED" w:rsidRDefault="000E44ED" w:rsidP="000E44ED">
      <w:pPr>
        <w:spacing w:before="100" w:beforeAutospacing="1" w:after="100" w:afterAutospacing="1" w:line="240" w:lineRule="auto"/>
        <w:rPr>
          <w:rFonts w:ascii="Arial" w:eastAsia="Times New Roman" w:hAnsi="Arial" w:cs="Arial"/>
          <w:color w:val="3F3F3F"/>
          <w:sz w:val="24"/>
          <w:szCs w:val="24"/>
        </w:rPr>
      </w:pPr>
      <w:r w:rsidRPr="000E44ED">
        <w:rPr>
          <w:rFonts w:ascii="Arial" w:eastAsia="Times New Roman" w:hAnsi="Arial" w:cs="Arial"/>
          <w:color w:val="3F3F3F"/>
          <w:sz w:val="24"/>
          <w:szCs w:val="24"/>
        </w:rPr>
        <w:t xml:space="preserve">For inventory-holding costs, the university warehouse and hospital storeroom used 36,750 square feet of storage space. The university stored an average of $4.15 million in hospital supplies in this space. Records indicated that the average annual variable </w:t>
      </w:r>
      <w:r w:rsidRPr="000E44ED">
        <w:rPr>
          <w:rFonts w:ascii="Arial" w:eastAsia="Times New Roman" w:hAnsi="Arial" w:cs="Arial"/>
          <w:color w:val="3F3F3F"/>
          <w:sz w:val="24"/>
          <w:szCs w:val="24"/>
        </w:rPr>
        <w:lastRenderedPageBreak/>
        <w:t xml:space="preserve">and </w:t>
      </w:r>
      <w:proofErr w:type="spellStart"/>
      <w:r w:rsidRPr="000E44ED">
        <w:rPr>
          <w:rFonts w:ascii="Arial" w:eastAsia="Times New Roman" w:hAnsi="Arial" w:cs="Arial"/>
          <w:color w:val="3F3F3F"/>
          <w:sz w:val="24"/>
          <w:szCs w:val="24"/>
        </w:rPr>
        <w:t>semivariable</w:t>
      </w:r>
      <w:proofErr w:type="spellEnd"/>
      <w:r w:rsidRPr="000E44ED">
        <w:rPr>
          <w:rFonts w:ascii="Arial" w:eastAsia="Times New Roman" w:hAnsi="Arial" w:cs="Arial"/>
          <w:color w:val="3F3F3F"/>
          <w:sz w:val="24"/>
          <w:szCs w:val="24"/>
        </w:rPr>
        <w:t xml:space="preserve"> cost for storage space this year would be $4.60 per square foot. Five warehouse workers and storeroom associates were required to handle the hospital’s supplies. These individuals each earned $32,000 a year; benefits and overhead rates for these employees were the same as for other personnel, about 20 percent. Other warehouse costs, including obsolescence and taxes, were expected to reach $400,000 this year. The hospital operated 52 weeks per year. Also, the state recently had floated a bond issue at 8.9 percent, and Caroline thought that might be a good estimate of the cost of money to finance inventory, but she wasn’t sure what other costs to include in inventory-holding costs.</w:t>
      </w:r>
    </w:p>
    <w:p w14:paraId="6C21A72E" w14:textId="77777777" w:rsidR="000E44ED" w:rsidRPr="000E44ED" w:rsidRDefault="000E44ED" w:rsidP="000E44ED">
      <w:pPr>
        <w:spacing w:before="100" w:beforeAutospacing="1" w:after="100" w:afterAutospacing="1" w:line="240" w:lineRule="auto"/>
        <w:rPr>
          <w:rFonts w:ascii="Arial" w:eastAsia="Times New Roman" w:hAnsi="Arial" w:cs="Arial"/>
          <w:color w:val="3F3F3F"/>
          <w:sz w:val="24"/>
          <w:szCs w:val="24"/>
        </w:rPr>
      </w:pPr>
      <w:r w:rsidRPr="000E44ED">
        <w:rPr>
          <w:rFonts w:ascii="Arial" w:eastAsia="Times New Roman" w:hAnsi="Arial" w:cs="Arial"/>
          <w:color w:val="3F3F3F"/>
          <w:sz w:val="24"/>
          <w:szCs w:val="24"/>
        </w:rPr>
        <w:t>After reviewing her notes on the hospital’s materials-management situation, Caroline decided to take a closer look at some individual regular stock items. She sorted through the papers on her desk and found 30 SKUs of interest. She wanted to analyze all 30 SKUs but decided to begin with one SKU widely used in the hospital—Strike Disinfectant. Data on this SKU are shown in </w:t>
      </w:r>
      <w:r w:rsidRPr="000E44ED">
        <w:rPr>
          <w:rFonts w:ascii="Arial" w:eastAsia="Times New Roman" w:hAnsi="Arial" w:cs="Arial"/>
          <w:b/>
          <w:bCs/>
          <w:color w:val="575757"/>
          <w:sz w:val="24"/>
          <w:szCs w:val="24"/>
        </w:rPr>
        <w:t>Exhibits 11.16</w:t>
      </w:r>
      <w:r w:rsidRPr="000E44ED">
        <w:rPr>
          <w:rFonts w:ascii="Arial" w:eastAsia="Times New Roman" w:hAnsi="Arial" w:cs="Arial"/>
          <w:color w:val="3F3F3F"/>
          <w:sz w:val="24"/>
          <w:szCs w:val="24"/>
        </w:rPr>
        <w:t> and </w:t>
      </w:r>
      <w:r w:rsidRPr="000E44ED">
        <w:rPr>
          <w:rFonts w:ascii="Arial" w:eastAsia="Times New Roman" w:hAnsi="Arial" w:cs="Arial"/>
          <w:color w:val="575757"/>
          <w:sz w:val="24"/>
          <w:szCs w:val="24"/>
        </w:rPr>
        <w:t>11.17</w:t>
      </w:r>
      <w:r w:rsidRPr="000E44ED">
        <w:rPr>
          <w:rFonts w:ascii="Arial" w:eastAsia="Times New Roman" w:hAnsi="Arial" w:cs="Arial"/>
          <w:color w:val="3F3F3F"/>
          <w:sz w:val="24"/>
          <w:szCs w:val="24"/>
        </w:rPr>
        <w:t>.</w:t>
      </w:r>
    </w:p>
    <w:p w14:paraId="62177709" w14:textId="77777777" w:rsidR="000E44ED" w:rsidRPr="000E44ED" w:rsidRDefault="000E44ED" w:rsidP="000E44ED">
      <w:pPr>
        <w:spacing w:after="0" w:line="240" w:lineRule="auto"/>
        <w:rPr>
          <w:rFonts w:ascii="Times New Roman" w:eastAsia="Times New Roman" w:hAnsi="Times New Roman" w:cs="Times New Roman"/>
          <w:sz w:val="24"/>
          <w:szCs w:val="24"/>
        </w:rPr>
      </w:pPr>
      <w:r w:rsidRPr="000E44ED">
        <w:rPr>
          <w:rFonts w:ascii="Arial" w:eastAsia="Times New Roman" w:hAnsi="Arial" w:cs="Arial"/>
          <w:b/>
          <w:bCs/>
          <w:color w:val="FFFFFF"/>
          <w:sz w:val="24"/>
          <w:szCs w:val="24"/>
          <w:shd w:val="clear" w:color="auto" w:fill="C1510A"/>
        </w:rPr>
        <w:t>Exhibit11.16.</w:t>
      </w:r>
      <w:r w:rsidRPr="000E44ED">
        <w:rPr>
          <w:rFonts w:ascii="Arial" w:eastAsia="Times New Roman" w:hAnsi="Arial" w:cs="Arial"/>
          <w:b/>
          <w:bCs/>
          <w:sz w:val="24"/>
          <w:szCs w:val="24"/>
        </w:rPr>
        <w:t>Hardy Hospital Strike Disinfectant Data</w:t>
      </w:r>
      <w:hyperlink r:id="rId6" w:anchor="!/reader/90f478f9-77a1-4083-81f8-eba8032fa308/page/?#LDQDE6FULER1NTZ5C532" w:tgtFrame="_parent" w:history="1">
        <w:r w:rsidRPr="000E44ED">
          <w:rPr>
            <w:rFonts w:ascii="Arial" w:eastAsia="Times New Roman" w:hAnsi="Arial" w:cs="Arial"/>
            <w:b/>
            <w:bCs/>
            <w:color w:val="006298"/>
            <w:sz w:val="30"/>
            <w:szCs w:val="30"/>
            <w:bdr w:val="none" w:sz="0" w:space="0" w:color="auto" w:frame="1"/>
          </w:rPr>
          <w:t>*</w:t>
        </w:r>
      </w:hyperlink>
    </w:p>
    <w:tbl>
      <w:tblPr>
        <w:tblW w:w="0" w:type="auto"/>
        <w:tblBorders>
          <w:top w:val="single" w:sz="6" w:space="0" w:color="BFBFBF"/>
          <w:left w:val="single" w:sz="6" w:space="0" w:color="BFBFBF"/>
          <w:bottom w:val="single" w:sz="6" w:space="0" w:color="BFBFBF"/>
          <w:right w:val="single" w:sz="6" w:space="0" w:color="BFBFBF"/>
        </w:tblBorders>
        <w:tblCellMar>
          <w:top w:w="15" w:type="dxa"/>
          <w:left w:w="15" w:type="dxa"/>
          <w:bottom w:w="15" w:type="dxa"/>
          <w:right w:w="15" w:type="dxa"/>
        </w:tblCellMar>
        <w:tblLook w:val="04A0" w:firstRow="1" w:lastRow="0" w:firstColumn="1" w:lastColumn="0" w:noHBand="0" w:noVBand="1"/>
      </w:tblPr>
      <w:tblGrid>
        <w:gridCol w:w="2427"/>
        <w:gridCol w:w="1121"/>
        <w:gridCol w:w="1500"/>
        <w:gridCol w:w="1059"/>
        <w:gridCol w:w="1488"/>
        <w:gridCol w:w="1749"/>
      </w:tblGrid>
      <w:tr w:rsidR="000E44ED" w:rsidRPr="000E44ED" w14:paraId="3D0B8F28" w14:textId="77777777" w:rsidTr="000E44ED">
        <w:trPr>
          <w:tblHeader/>
        </w:trPr>
        <w:tc>
          <w:tcPr>
            <w:tcW w:w="3071" w:type="dxa"/>
            <w:tcBorders>
              <w:bottom w:val="single" w:sz="6" w:space="0" w:color="BFBFBF"/>
              <w:right w:val="single" w:sz="6" w:space="0" w:color="BFBFBF"/>
            </w:tcBorders>
            <w:shd w:val="clear" w:color="auto" w:fill="E9E9E9"/>
            <w:tcMar>
              <w:top w:w="105" w:type="dxa"/>
              <w:left w:w="45" w:type="dxa"/>
              <w:bottom w:w="105" w:type="dxa"/>
              <w:right w:w="45" w:type="dxa"/>
            </w:tcMar>
            <w:vAlign w:val="bottom"/>
            <w:hideMark/>
          </w:tcPr>
          <w:p w14:paraId="393E80B1" w14:textId="77777777" w:rsidR="000E44ED" w:rsidRPr="000E44ED" w:rsidRDefault="000E44ED" w:rsidP="000E44ED">
            <w:pPr>
              <w:spacing w:after="0" w:line="240" w:lineRule="auto"/>
              <w:jc w:val="center"/>
              <w:rPr>
                <w:rFonts w:ascii="Helvetica" w:eastAsia="Times New Roman" w:hAnsi="Helvetica" w:cs="Times New Roman"/>
                <w:b/>
                <w:bCs/>
                <w:color w:val="575757"/>
                <w:sz w:val="24"/>
                <w:szCs w:val="24"/>
              </w:rPr>
            </w:pPr>
            <w:r w:rsidRPr="000E44ED">
              <w:rPr>
                <w:rFonts w:ascii="Helvetica" w:eastAsia="Times New Roman" w:hAnsi="Helvetica" w:cs="Times New Roman"/>
                <w:b/>
                <w:bCs/>
                <w:color w:val="575757"/>
                <w:sz w:val="24"/>
                <w:szCs w:val="24"/>
              </w:rPr>
              <w:t> </w:t>
            </w:r>
          </w:p>
        </w:tc>
        <w:tc>
          <w:tcPr>
            <w:tcW w:w="1479" w:type="dxa"/>
            <w:tcBorders>
              <w:bottom w:val="single" w:sz="6" w:space="0" w:color="BFBFBF"/>
              <w:right w:val="single" w:sz="6" w:space="0" w:color="BFBFBF"/>
            </w:tcBorders>
            <w:shd w:val="clear" w:color="auto" w:fill="E9E9E9"/>
            <w:tcMar>
              <w:top w:w="105" w:type="dxa"/>
              <w:left w:w="45" w:type="dxa"/>
              <w:bottom w:w="105" w:type="dxa"/>
              <w:right w:w="45" w:type="dxa"/>
            </w:tcMar>
            <w:vAlign w:val="bottom"/>
            <w:hideMark/>
          </w:tcPr>
          <w:p w14:paraId="2DDBD9C6" w14:textId="77777777" w:rsidR="000E44ED" w:rsidRPr="000E44ED" w:rsidRDefault="000E44ED" w:rsidP="000E44ED">
            <w:pPr>
              <w:spacing w:after="0" w:line="240" w:lineRule="auto"/>
              <w:jc w:val="center"/>
              <w:rPr>
                <w:rFonts w:ascii="Helvetica" w:eastAsia="Times New Roman" w:hAnsi="Helvetica" w:cs="Times New Roman"/>
                <w:b/>
                <w:bCs/>
                <w:color w:val="575757"/>
                <w:sz w:val="24"/>
                <w:szCs w:val="24"/>
              </w:rPr>
            </w:pPr>
            <w:r w:rsidRPr="000E44ED">
              <w:rPr>
                <w:rFonts w:ascii="Helvetica" w:eastAsia="Times New Roman" w:hAnsi="Helvetica" w:cs="Times New Roman"/>
                <w:b/>
                <w:bCs/>
                <w:color w:val="575757"/>
                <w:sz w:val="24"/>
                <w:szCs w:val="24"/>
              </w:rPr>
              <w:t> </w:t>
            </w:r>
          </w:p>
        </w:tc>
        <w:tc>
          <w:tcPr>
            <w:tcW w:w="1875" w:type="dxa"/>
            <w:tcBorders>
              <w:bottom w:val="single" w:sz="6" w:space="0" w:color="BFBFBF"/>
              <w:right w:val="single" w:sz="6" w:space="0" w:color="BFBFBF"/>
            </w:tcBorders>
            <w:shd w:val="clear" w:color="auto" w:fill="E9E9E9"/>
            <w:tcMar>
              <w:top w:w="105" w:type="dxa"/>
              <w:left w:w="45" w:type="dxa"/>
              <w:bottom w:w="105" w:type="dxa"/>
              <w:right w:w="45" w:type="dxa"/>
            </w:tcMar>
            <w:vAlign w:val="bottom"/>
            <w:hideMark/>
          </w:tcPr>
          <w:p w14:paraId="663E41BE" w14:textId="77777777" w:rsidR="000E44ED" w:rsidRPr="000E44ED" w:rsidRDefault="000E44ED" w:rsidP="000E44ED">
            <w:pPr>
              <w:spacing w:before="100" w:beforeAutospacing="1" w:after="100" w:afterAutospacing="1" w:line="240" w:lineRule="auto"/>
              <w:jc w:val="center"/>
              <w:rPr>
                <w:rFonts w:ascii="Arial" w:eastAsia="Times New Roman" w:hAnsi="Arial" w:cs="Arial"/>
                <w:b/>
                <w:bCs/>
                <w:color w:val="3F3F3F"/>
                <w:sz w:val="24"/>
                <w:szCs w:val="24"/>
              </w:rPr>
            </w:pPr>
            <w:r w:rsidRPr="000E44ED">
              <w:rPr>
                <w:rFonts w:ascii="Arial" w:eastAsia="Times New Roman" w:hAnsi="Arial" w:cs="Arial"/>
                <w:b/>
                <w:bCs/>
                <w:color w:val="3F3F3F"/>
                <w:sz w:val="24"/>
                <w:szCs w:val="24"/>
              </w:rPr>
              <w:t>Case Size</w:t>
            </w:r>
          </w:p>
        </w:tc>
        <w:tc>
          <w:tcPr>
            <w:tcW w:w="1479" w:type="dxa"/>
            <w:tcBorders>
              <w:bottom w:val="single" w:sz="6" w:space="0" w:color="BFBFBF"/>
              <w:right w:val="single" w:sz="6" w:space="0" w:color="BFBFBF"/>
            </w:tcBorders>
            <w:shd w:val="clear" w:color="auto" w:fill="E9E9E9"/>
            <w:tcMar>
              <w:top w:w="105" w:type="dxa"/>
              <w:left w:w="45" w:type="dxa"/>
              <w:bottom w:w="105" w:type="dxa"/>
              <w:right w:w="45" w:type="dxa"/>
            </w:tcMar>
            <w:vAlign w:val="bottom"/>
            <w:hideMark/>
          </w:tcPr>
          <w:p w14:paraId="7D6CF46E" w14:textId="77777777" w:rsidR="000E44ED" w:rsidRPr="000E44ED" w:rsidRDefault="000E44ED" w:rsidP="000E44ED">
            <w:pPr>
              <w:spacing w:after="0" w:line="240" w:lineRule="auto"/>
              <w:jc w:val="center"/>
              <w:rPr>
                <w:rFonts w:ascii="Helvetica" w:eastAsia="Times New Roman" w:hAnsi="Helvetica" w:cs="Times New Roman"/>
                <w:b/>
                <w:bCs/>
                <w:color w:val="575757"/>
                <w:sz w:val="24"/>
                <w:szCs w:val="24"/>
              </w:rPr>
            </w:pPr>
            <w:r w:rsidRPr="000E44ED">
              <w:rPr>
                <w:rFonts w:ascii="Helvetica" w:eastAsia="Times New Roman" w:hAnsi="Helvetica" w:cs="Times New Roman"/>
                <w:b/>
                <w:bCs/>
                <w:color w:val="575757"/>
                <w:sz w:val="24"/>
                <w:szCs w:val="24"/>
              </w:rPr>
              <w:t> </w:t>
            </w:r>
          </w:p>
        </w:tc>
        <w:tc>
          <w:tcPr>
            <w:tcW w:w="1875" w:type="dxa"/>
            <w:tcBorders>
              <w:bottom w:val="single" w:sz="6" w:space="0" w:color="BFBFBF"/>
              <w:right w:val="single" w:sz="6" w:space="0" w:color="BFBFBF"/>
            </w:tcBorders>
            <w:shd w:val="clear" w:color="auto" w:fill="E9E9E9"/>
            <w:tcMar>
              <w:top w:w="105" w:type="dxa"/>
              <w:left w:w="45" w:type="dxa"/>
              <w:bottom w:w="105" w:type="dxa"/>
              <w:right w:w="45" w:type="dxa"/>
            </w:tcMar>
            <w:vAlign w:val="bottom"/>
            <w:hideMark/>
          </w:tcPr>
          <w:p w14:paraId="57EA1B11" w14:textId="77777777" w:rsidR="000E44ED" w:rsidRPr="000E44ED" w:rsidRDefault="000E44ED" w:rsidP="000E44ED">
            <w:pPr>
              <w:spacing w:before="100" w:beforeAutospacing="1" w:after="100" w:afterAutospacing="1" w:line="240" w:lineRule="auto"/>
              <w:jc w:val="center"/>
              <w:rPr>
                <w:rFonts w:ascii="Arial" w:eastAsia="Times New Roman" w:hAnsi="Arial" w:cs="Arial"/>
                <w:b/>
                <w:bCs/>
                <w:color w:val="3F3F3F"/>
                <w:sz w:val="24"/>
                <w:szCs w:val="24"/>
              </w:rPr>
            </w:pPr>
            <w:r w:rsidRPr="000E44ED">
              <w:rPr>
                <w:rFonts w:ascii="Arial" w:eastAsia="Times New Roman" w:hAnsi="Arial" w:cs="Arial"/>
                <w:b/>
                <w:bCs/>
                <w:color w:val="3F3F3F"/>
                <w:sz w:val="24"/>
                <w:szCs w:val="24"/>
              </w:rPr>
              <w:t>Cost per Case</w:t>
            </w:r>
          </w:p>
        </w:tc>
        <w:tc>
          <w:tcPr>
            <w:tcW w:w="2404" w:type="dxa"/>
            <w:tcBorders>
              <w:bottom w:val="single" w:sz="6" w:space="0" w:color="BFBFBF"/>
              <w:right w:val="single" w:sz="6" w:space="0" w:color="BFBFBF"/>
            </w:tcBorders>
            <w:shd w:val="clear" w:color="auto" w:fill="E9E9E9"/>
            <w:tcMar>
              <w:top w:w="105" w:type="dxa"/>
              <w:left w:w="45" w:type="dxa"/>
              <w:bottom w:w="105" w:type="dxa"/>
              <w:right w:w="45" w:type="dxa"/>
            </w:tcMar>
            <w:vAlign w:val="bottom"/>
            <w:hideMark/>
          </w:tcPr>
          <w:p w14:paraId="4B1D45CC" w14:textId="77777777" w:rsidR="000E44ED" w:rsidRPr="000E44ED" w:rsidRDefault="000E44ED" w:rsidP="000E44ED">
            <w:pPr>
              <w:spacing w:before="100" w:beforeAutospacing="1" w:after="100" w:afterAutospacing="1" w:line="240" w:lineRule="auto"/>
              <w:jc w:val="center"/>
              <w:rPr>
                <w:rFonts w:ascii="Arial" w:eastAsia="Times New Roman" w:hAnsi="Arial" w:cs="Arial"/>
                <w:b/>
                <w:bCs/>
                <w:color w:val="3F3F3F"/>
                <w:sz w:val="24"/>
                <w:szCs w:val="24"/>
              </w:rPr>
            </w:pPr>
            <w:r w:rsidRPr="000E44ED">
              <w:rPr>
                <w:rFonts w:ascii="Arial" w:eastAsia="Times New Roman" w:hAnsi="Arial" w:cs="Arial"/>
                <w:b/>
                <w:bCs/>
                <w:color w:val="3F3F3F"/>
                <w:sz w:val="24"/>
                <w:szCs w:val="24"/>
              </w:rPr>
              <w:t>Order Lead Time</w:t>
            </w:r>
          </w:p>
        </w:tc>
      </w:tr>
      <w:tr w:rsidR="000E44ED" w:rsidRPr="000E44ED" w14:paraId="0F4406F4" w14:textId="77777777" w:rsidTr="000E44ED">
        <w:tc>
          <w:tcPr>
            <w:tcW w:w="2861" w:type="dxa"/>
            <w:tcBorders>
              <w:bottom w:val="single" w:sz="6" w:space="0" w:color="BFBFBF"/>
              <w:right w:val="single" w:sz="6" w:space="0" w:color="BFBFBF"/>
            </w:tcBorders>
            <w:tcMar>
              <w:top w:w="105" w:type="dxa"/>
              <w:left w:w="150" w:type="dxa"/>
              <w:bottom w:w="105" w:type="dxa"/>
              <w:right w:w="150" w:type="dxa"/>
            </w:tcMar>
            <w:hideMark/>
          </w:tcPr>
          <w:p w14:paraId="7F7FC885" w14:textId="77777777" w:rsidR="000E44ED" w:rsidRPr="000E44ED" w:rsidRDefault="000E44ED" w:rsidP="000E44ED">
            <w:pPr>
              <w:spacing w:before="100" w:beforeAutospacing="1" w:after="100" w:afterAutospacing="1" w:line="240" w:lineRule="auto"/>
              <w:rPr>
                <w:rFonts w:ascii="Arial" w:eastAsia="Times New Roman" w:hAnsi="Arial" w:cs="Arial"/>
                <w:color w:val="3F3F3F"/>
                <w:sz w:val="24"/>
                <w:szCs w:val="24"/>
              </w:rPr>
            </w:pPr>
            <w:r w:rsidRPr="000E44ED">
              <w:rPr>
                <w:rFonts w:ascii="Arial" w:eastAsia="Times New Roman" w:hAnsi="Arial" w:cs="Arial"/>
                <w:color w:val="3F3F3F"/>
                <w:sz w:val="24"/>
                <w:szCs w:val="24"/>
              </w:rPr>
              <w:t>Strike Disinfectant</w:t>
            </w:r>
            <w:hyperlink r:id="rId7" w:anchor="!/reader/90f478f9-77a1-4083-81f8-eba8032fa308/page/?#SQUCCXL7A0772LH3Z234" w:tgtFrame="_parent" w:history="1">
              <w:r w:rsidRPr="000E44ED">
                <w:rPr>
                  <w:rFonts w:ascii="Arial" w:eastAsia="Times New Roman" w:hAnsi="Arial" w:cs="Arial"/>
                  <w:b/>
                  <w:bCs/>
                  <w:color w:val="006298"/>
                  <w:sz w:val="30"/>
                  <w:szCs w:val="30"/>
                  <w:bdr w:val="none" w:sz="0" w:space="0" w:color="auto" w:frame="1"/>
                </w:rPr>
                <w:t>*</w:t>
              </w:r>
            </w:hyperlink>
          </w:p>
        </w:tc>
        <w:tc>
          <w:tcPr>
            <w:tcW w:w="1269" w:type="dxa"/>
            <w:tcBorders>
              <w:bottom w:val="single" w:sz="6" w:space="0" w:color="BFBFBF"/>
              <w:right w:val="single" w:sz="6" w:space="0" w:color="BFBFBF"/>
            </w:tcBorders>
            <w:tcMar>
              <w:top w:w="105" w:type="dxa"/>
              <w:left w:w="150" w:type="dxa"/>
              <w:bottom w:w="105" w:type="dxa"/>
              <w:right w:w="150" w:type="dxa"/>
            </w:tcMar>
            <w:hideMark/>
          </w:tcPr>
          <w:p w14:paraId="643C9219" w14:textId="77777777" w:rsidR="000E44ED" w:rsidRPr="000E44ED" w:rsidRDefault="000E44ED" w:rsidP="000E44ED">
            <w:pPr>
              <w:spacing w:after="0"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 </w:t>
            </w:r>
          </w:p>
        </w:tc>
        <w:tc>
          <w:tcPr>
            <w:tcW w:w="1665" w:type="dxa"/>
            <w:tcBorders>
              <w:bottom w:val="single" w:sz="6" w:space="0" w:color="BFBFBF"/>
              <w:right w:val="single" w:sz="6" w:space="0" w:color="BFBFBF"/>
            </w:tcBorders>
            <w:tcMar>
              <w:top w:w="105" w:type="dxa"/>
              <w:left w:w="150" w:type="dxa"/>
              <w:bottom w:w="105" w:type="dxa"/>
              <w:right w:w="150" w:type="dxa"/>
            </w:tcMar>
            <w:hideMark/>
          </w:tcPr>
          <w:p w14:paraId="02BDA59F" w14:textId="77777777" w:rsidR="000E44ED" w:rsidRPr="000E44ED" w:rsidRDefault="000E44ED" w:rsidP="000E44ED">
            <w:pPr>
              <w:spacing w:before="100" w:beforeAutospacing="1" w:after="100" w:afterAutospacing="1"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4 gallons</w:t>
            </w:r>
          </w:p>
        </w:tc>
        <w:tc>
          <w:tcPr>
            <w:tcW w:w="1269" w:type="dxa"/>
            <w:tcBorders>
              <w:bottom w:val="single" w:sz="6" w:space="0" w:color="BFBFBF"/>
              <w:right w:val="single" w:sz="6" w:space="0" w:color="BFBFBF"/>
            </w:tcBorders>
            <w:tcMar>
              <w:top w:w="105" w:type="dxa"/>
              <w:left w:w="150" w:type="dxa"/>
              <w:bottom w:w="105" w:type="dxa"/>
              <w:right w:w="150" w:type="dxa"/>
            </w:tcMar>
            <w:hideMark/>
          </w:tcPr>
          <w:p w14:paraId="408784C0" w14:textId="77777777" w:rsidR="000E44ED" w:rsidRPr="000E44ED" w:rsidRDefault="000E44ED" w:rsidP="000E44ED">
            <w:pPr>
              <w:spacing w:after="0"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 </w:t>
            </w:r>
          </w:p>
        </w:tc>
        <w:tc>
          <w:tcPr>
            <w:tcW w:w="1665" w:type="dxa"/>
            <w:tcBorders>
              <w:bottom w:val="single" w:sz="6" w:space="0" w:color="BFBFBF"/>
              <w:right w:val="single" w:sz="6" w:space="0" w:color="BFBFBF"/>
            </w:tcBorders>
            <w:tcMar>
              <w:top w:w="105" w:type="dxa"/>
              <w:left w:w="150" w:type="dxa"/>
              <w:bottom w:w="105" w:type="dxa"/>
              <w:right w:w="150" w:type="dxa"/>
            </w:tcMar>
            <w:hideMark/>
          </w:tcPr>
          <w:p w14:paraId="29FC983D" w14:textId="77777777" w:rsidR="000E44ED" w:rsidRPr="000E44ED" w:rsidRDefault="000E44ED" w:rsidP="000E44ED">
            <w:pPr>
              <w:spacing w:before="100" w:beforeAutospacing="1" w:after="100" w:afterAutospacing="1"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$84.20</w:t>
            </w:r>
          </w:p>
        </w:tc>
        <w:tc>
          <w:tcPr>
            <w:tcW w:w="2201" w:type="dxa"/>
            <w:tcBorders>
              <w:bottom w:val="single" w:sz="6" w:space="0" w:color="BFBFBF"/>
              <w:right w:val="nil"/>
            </w:tcBorders>
            <w:tcMar>
              <w:top w:w="105" w:type="dxa"/>
              <w:left w:w="150" w:type="dxa"/>
              <w:bottom w:w="105" w:type="dxa"/>
              <w:right w:w="150" w:type="dxa"/>
            </w:tcMar>
            <w:hideMark/>
          </w:tcPr>
          <w:p w14:paraId="5A692883" w14:textId="77777777" w:rsidR="000E44ED" w:rsidRPr="000E44ED" w:rsidRDefault="000E44ED" w:rsidP="000E44ED">
            <w:pPr>
              <w:spacing w:before="100" w:beforeAutospacing="1" w:after="100" w:afterAutospacing="1"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2 weeks</w:t>
            </w:r>
          </w:p>
        </w:tc>
      </w:tr>
      <w:tr w:rsidR="000E44ED" w:rsidRPr="000E44ED" w14:paraId="37C07718" w14:textId="77777777" w:rsidTr="000E44ED">
        <w:tc>
          <w:tcPr>
            <w:tcW w:w="2861"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3FCB7E8E" w14:textId="77777777" w:rsidR="000E44ED" w:rsidRPr="000E44ED" w:rsidRDefault="000E44ED" w:rsidP="000E44ED">
            <w:pPr>
              <w:spacing w:before="100" w:beforeAutospacing="1" w:after="100" w:afterAutospacing="1" w:line="240" w:lineRule="auto"/>
              <w:rPr>
                <w:rFonts w:ascii="Arial" w:eastAsia="Times New Roman" w:hAnsi="Arial" w:cs="Arial"/>
                <w:color w:val="3F3F3F"/>
                <w:sz w:val="24"/>
                <w:szCs w:val="24"/>
              </w:rPr>
            </w:pPr>
            <w:r w:rsidRPr="000E44ED">
              <w:rPr>
                <w:rFonts w:ascii="Arial" w:eastAsia="Times New Roman" w:hAnsi="Arial" w:cs="Arial"/>
                <w:color w:val="3F3F3F"/>
                <w:sz w:val="24"/>
                <w:szCs w:val="24"/>
              </w:rPr>
              <w:t>Beginning SKU Balance</w:t>
            </w:r>
          </w:p>
        </w:tc>
        <w:tc>
          <w:tcPr>
            <w:tcW w:w="1269"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7CC2E519" w14:textId="77777777" w:rsidR="000E44ED" w:rsidRPr="000E44ED" w:rsidRDefault="000E44ED" w:rsidP="000E44ED">
            <w:pPr>
              <w:spacing w:before="100" w:beforeAutospacing="1" w:after="100" w:afterAutospacing="1"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  96</w:t>
            </w:r>
          </w:p>
        </w:tc>
        <w:tc>
          <w:tcPr>
            <w:tcW w:w="166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5BDBF647" w14:textId="77777777" w:rsidR="000E44ED" w:rsidRPr="000E44ED" w:rsidRDefault="000E44ED" w:rsidP="000E44ED">
            <w:pPr>
              <w:spacing w:before="100" w:beforeAutospacing="1" w:after="100" w:afterAutospacing="1"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Week</w:t>
            </w:r>
          </w:p>
        </w:tc>
        <w:tc>
          <w:tcPr>
            <w:tcW w:w="1269"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2083E7EC" w14:textId="77777777" w:rsidR="000E44ED" w:rsidRPr="000E44ED" w:rsidRDefault="000E44ED" w:rsidP="000E44ED">
            <w:pPr>
              <w:spacing w:before="100" w:beforeAutospacing="1" w:after="100" w:afterAutospacing="1"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  1</w:t>
            </w:r>
          </w:p>
        </w:tc>
        <w:tc>
          <w:tcPr>
            <w:tcW w:w="166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7F65124F" w14:textId="77777777" w:rsidR="000E44ED" w:rsidRPr="000E44ED" w:rsidRDefault="000E44ED" w:rsidP="000E44ED">
            <w:pPr>
              <w:spacing w:after="0"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 </w:t>
            </w:r>
          </w:p>
        </w:tc>
        <w:tc>
          <w:tcPr>
            <w:tcW w:w="2201" w:type="dxa"/>
            <w:tcBorders>
              <w:bottom w:val="single" w:sz="6" w:space="0" w:color="BFBFBF"/>
              <w:right w:val="nil"/>
            </w:tcBorders>
            <w:shd w:val="clear" w:color="auto" w:fill="EEF7FC"/>
            <w:tcMar>
              <w:top w:w="105" w:type="dxa"/>
              <w:left w:w="150" w:type="dxa"/>
              <w:bottom w:w="105" w:type="dxa"/>
              <w:right w:w="150" w:type="dxa"/>
            </w:tcMar>
            <w:hideMark/>
          </w:tcPr>
          <w:p w14:paraId="637C6F23" w14:textId="77777777" w:rsidR="000E44ED" w:rsidRPr="000E44ED" w:rsidRDefault="000E44ED" w:rsidP="000E44ED">
            <w:pPr>
              <w:spacing w:after="0"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 </w:t>
            </w:r>
          </w:p>
        </w:tc>
      </w:tr>
      <w:tr w:rsidR="000E44ED" w:rsidRPr="000E44ED" w14:paraId="00F8AF96" w14:textId="77777777" w:rsidTr="000E44ED">
        <w:tc>
          <w:tcPr>
            <w:tcW w:w="2861" w:type="dxa"/>
            <w:tcBorders>
              <w:bottom w:val="single" w:sz="6" w:space="0" w:color="BFBFBF"/>
              <w:right w:val="single" w:sz="6" w:space="0" w:color="BFBFBF"/>
            </w:tcBorders>
            <w:tcMar>
              <w:top w:w="105" w:type="dxa"/>
              <w:left w:w="150" w:type="dxa"/>
              <w:bottom w:w="105" w:type="dxa"/>
              <w:right w:w="150" w:type="dxa"/>
            </w:tcMar>
            <w:hideMark/>
          </w:tcPr>
          <w:p w14:paraId="6DA5A457" w14:textId="77777777" w:rsidR="000E44ED" w:rsidRPr="000E44ED" w:rsidRDefault="000E44ED" w:rsidP="000E44ED">
            <w:pPr>
              <w:spacing w:before="100" w:beforeAutospacing="1" w:after="100" w:afterAutospacing="1" w:line="240" w:lineRule="auto"/>
              <w:rPr>
                <w:rFonts w:ascii="Arial" w:eastAsia="Times New Roman" w:hAnsi="Arial" w:cs="Arial"/>
                <w:color w:val="3F3F3F"/>
                <w:sz w:val="24"/>
                <w:szCs w:val="24"/>
              </w:rPr>
            </w:pPr>
            <w:r w:rsidRPr="000E44ED">
              <w:rPr>
                <w:rFonts w:ascii="Arial" w:eastAsia="Times New Roman" w:hAnsi="Arial" w:cs="Arial"/>
                <w:color w:val="3F3F3F"/>
                <w:sz w:val="24"/>
                <w:szCs w:val="24"/>
              </w:rPr>
              <w:t>Receipt</w:t>
            </w:r>
          </w:p>
        </w:tc>
        <w:tc>
          <w:tcPr>
            <w:tcW w:w="1269" w:type="dxa"/>
            <w:tcBorders>
              <w:bottom w:val="single" w:sz="6" w:space="0" w:color="BFBFBF"/>
              <w:right w:val="single" w:sz="6" w:space="0" w:color="BFBFBF"/>
            </w:tcBorders>
            <w:tcMar>
              <w:top w:w="105" w:type="dxa"/>
              <w:left w:w="150" w:type="dxa"/>
              <w:bottom w:w="105" w:type="dxa"/>
              <w:right w:w="150" w:type="dxa"/>
            </w:tcMar>
            <w:hideMark/>
          </w:tcPr>
          <w:p w14:paraId="069E8888" w14:textId="77777777" w:rsidR="000E44ED" w:rsidRPr="000E44ED" w:rsidRDefault="000E44ED" w:rsidP="000E44ED">
            <w:pPr>
              <w:spacing w:before="100" w:beforeAutospacing="1" w:after="100" w:afterAutospacing="1"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200</w:t>
            </w:r>
          </w:p>
        </w:tc>
        <w:tc>
          <w:tcPr>
            <w:tcW w:w="1665" w:type="dxa"/>
            <w:tcBorders>
              <w:bottom w:val="single" w:sz="6" w:space="0" w:color="BFBFBF"/>
              <w:right w:val="single" w:sz="6" w:space="0" w:color="BFBFBF"/>
            </w:tcBorders>
            <w:tcMar>
              <w:top w:w="105" w:type="dxa"/>
              <w:left w:w="150" w:type="dxa"/>
              <w:bottom w:w="105" w:type="dxa"/>
              <w:right w:w="150" w:type="dxa"/>
            </w:tcMar>
            <w:hideMark/>
          </w:tcPr>
          <w:p w14:paraId="0AE884AE" w14:textId="77777777" w:rsidR="000E44ED" w:rsidRPr="000E44ED" w:rsidRDefault="000E44ED" w:rsidP="000E44ED">
            <w:pPr>
              <w:spacing w:before="100" w:beforeAutospacing="1" w:after="100" w:afterAutospacing="1"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Week</w:t>
            </w:r>
          </w:p>
        </w:tc>
        <w:tc>
          <w:tcPr>
            <w:tcW w:w="1269" w:type="dxa"/>
            <w:tcBorders>
              <w:bottom w:val="single" w:sz="6" w:space="0" w:color="BFBFBF"/>
              <w:right w:val="single" w:sz="6" w:space="0" w:color="BFBFBF"/>
            </w:tcBorders>
            <w:tcMar>
              <w:top w:w="105" w:type="dxa"/>
              <w:left w:w="150" w:type="dxa"/>
              <w:bottom w:w="105" w:type="dxa"/>
              <w:right w:w="150" w:type="dxa"/>
            </w:tcMar>
            <w:hideMark/>
          </w:tcPr>
          <w:p w14:paraId="1536AE54" w14:textId="77777777" w:rsidR="000E44ED" w:rsidRPr="000E44ED" w:rsidRDefault="000E44ED" w:rsidP="000E44ED">
            <w:pPr>
              <w:spacing w:before="100" w:beforeAutospacing="1" w:after="100" w:afterAutospacing="1"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  7</w:t>
            </w:r>
          </w:p>
        </w:tc>
        <w:tc>
          <w:tcPr>
            <w:tcW w:w="1665" w:type="dxa"/>
            <w:tcBorders>
              <w:bottom w:val="single" w:sz="6" w:space="0" w:color="BFBFBF"/>
              <w:right w:val="single" w:sz="6" w:space="0" w:color="BFBFBF"/>
            </w:tcBorders>
            <w:tcMar>
              <w:top w:w="105" w:type="dxa"/>
              <w:left w:w="150" w:type="dxa"/>
              <w:bottom w:w="105" w:type="dxa"/>
              <w:right w:w="150" w:type="dxa"/>
            </w:tcMar>
            <w:hideMark/>
          </w:tcPr>
          <w:p w14:paraId="6DCA78F2" w14:textId="77777777" w:rsidR="000E44ED" w:rsidRPr="000E44ED" w:rsidRDefault="000E44ED" w:rsidP="000E44ED">
            <w:pPr>
              <w:spacing w:after="0"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 </w:t>
            </w:r>
          </w:p>
        </w:tc>
        <w:tc>
          <w:tcPr>
            <w:tcW w:w="2201" w:type="dxa"/>
            <w:tcBorders>
              <w:bottom w:val="single" w:sz="6" w:space="0" w:color="BFBFBF"/>
              <w:right w:val="nil"/>
            </w:tcBorders>
            <w:tcMar>
              <w:top w:w="105" w:type="dxa"/>
              <w:left w:w="150" w:type="dxa"/>
              <w:bottom w:w="105" w:type="dxa"/>
              <w:right w:w="150" w:type="dxa"/>
            </w:tcMar>
            <w:hideMark/>
          </w:tcPr>
          <w:p w14:paraId="0B8ED11B" w14:textId="77777777" w:rsidR="000E44ED" w:rsidRPr="000E44ED" w:rsidRDefault="000E44ED" w:rsidP="000E44ED">
            <w:pPr>
              <w:spacing w:after="0"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 </w:t>
            </w:r>
          </w:p>
        </w:tc>
      </w:tr>
      <w:tr w:rsidR="000E44ED" w:rsidRPr="000E44ED" w14:paraId="5DD34677" w14:textId="77777777" w:rsidTr="000E44ED">
        <w:tc>
          <w:tcPr>
            <w:tcW w:w="2861"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5F74B880" w14:textId="77777777" w:rsidR="000E44ED" w:rsidRPr="000E44ED" w:rsidRDefault="000E44ED" w:rsidP="000E44ED">
            <w:pPr>
              <w:spacing w:before="100" w:beforeAutospacing="1" w:after="100" w:afterAutospacing="1" w:line="240" w:lineRule="auto"/>
              <w:rPr>
                <w:rFonts w:ascii="Arial" w:eastAsia="Times New Roman" w:hAnsi="Arial" w:cs="Arial"/>
                <w:color w:val="3F3F3F"/>
                <w:sz w:val="24"/>
                <w:szCs w:val="24"/>
              </w:rPr>
            </w:pPr>
            <w:r w:rsidRPr="000E44ED">
              <w:rPr>
                <w:rFonts w:ascii="Arial" w:eastAsia="Times New Roman" w:hAnsi="Arial" w:cs="Arial"/>
                <w:color w:val="3F3F3F"/>
                <w:sz w:val="24"/>
                <w:szCs w:val="24"/>
              </w:rPr>
              <w:t>Ending Balance</w:t>
            </w:r>
          </w:p>
        </w:tc>
        <w:tc>
          <w:tcPr>
            <w:tcW w:w="1269"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1BD6EA62" w14:textId="77777777" w:rsidR="000E44ED" w:rsidRPr="000E44ED" w:rsidRDefault="000E44ED" w:rsidP="000E44ED">
            <w:pPr>
              <w:spacing w:before="100" w:beforeAutospacing="1" w:after="100" w:afterAutospacing="1"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110</w:t>
            </w:r>
          </w:p>
        </w:tc>
        <w:tc>
          <w:tcPr>
            <w:tcW w:w="166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1EEA756A" w14:textId="77777777" w:rsidR="000E44ED" w:rsidRPr="000E44ED" w:rsidRDefault="000E44ED" w:rsidP="000E44ED">
            <w:pPr>
              <w:spacing w:before="100" w:beforeAutospacing="1" w:after="100" w:afterAutospacing="1"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Week</w:t>
            </w:r>
          </w:p>
        </w:tc>
        <w:tc>
          <w:tcPr>
            <w:tcW w:w="1269"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23A725BF" w14:textId="77777777" w:rsidR="000E44ED" w:rsidRPr="000E44ED" w:rsidRDefault="000E44ED" w:rsidP="000E44ED">
            <w:pPr>
              <w:spacing w:before="100" w:beforeAutospacing="1" w:after="100" w:afterAutospacing="1"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16</w:t>
            </w:r>
          </w:p>
        </w:tc>
        <w:tc>
          <w:tcPr>
            <w:tcW w:w="1665" w:type="dxa"/>
            <w:tcBorders>
              <w:bottom w:val="single" w:sz="6" w:space="0" w:color="BFBFBF"/>
              <w:right w:val="single" w:sz="6" w:space="0" w:color="BFBFBF"/>
            </w:tcBorders>
            <w:shd w:val="clear" w:color="auto" w:fill="EEF7FC"/>
            <w:tcMar>
              <w:top w:w="105" w:type="dxa"/>
              <w:left w:w="150" w:type="dxa"/>
              <w:bottom w:w="105" w:type="dxa"/>
              <w:right w:w="150" w:type="dxa"/>
            </w:tcMar>
            <w:hideMark/>
          </w:tcPr>
          <w:p w14:paraId="5E5FD9BD" w14:textId="77777777" w:rsidR="000E44ED" w:rsidRPr="000E44ED" w:rsidRDefault="000E44ED" w:rsidP="000E44ED">
            <w:pPr>
              <w:spacing w:after="0"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 </w:t>
            </w:r>
          </w:p>
        </w:tc>
        <w:tc>
          <w:tcPr>
            <w:tcW w:w="2201" w:type="dxa"/>
            <w:tcBorders>
              <w:bottom w:val="single" w:sz="6" w:space="0" w:color="BFBFBF"/>
              <w:right w:val="nil"/>
            </w:tcBorders>
            <w:shd w:val="clear" w:color="auto" w:fill="EEF7FC"/>
            <w:tcMar>
              <w:top w:w="105" w:type="dxa"/>
              <w:left w:w="150" w:type="dxa"/>
              <w:bottom w:w="105" w:type="dxa"/>
              <w:right w:w="150" w:type="dxa"/>
            </w:tcMar>
            <w:hideMark/>
          </w:tcPr>
          <w:p w14:paraId="1E312132" w14:textId="77777777" w:rsidR="000E44ED" w:rsidRPr="000E44ED" w:rsidRDefault="000E44ED" w:rsidP="000E44ED">
            <w:pPr>
              <w:spacing w:after="0" w:line="240" w:lineRule="auto"/>
              <w:jc w:val="center"/>
              <w:rPr>
                <w:rFonts w:ascii="Arial" w:eastAsia="Times New Roman" w:hAnsi="Arial" w:cs="Arial"/>
                <w:color w:val="3F3F3F"/>
                <w:sz w:val="24"/>
                <w:szCs w:val="24"/>
              </w:rPr>
            </w:pPr>
            <w:r w:rsidRPr="000E44ED">
              <w:rPr>
                <w:rFonts w:ascii="Arial" w:eastAsia="Times New Roman" w:hAnsi="Arial" w:cs="Arial"/>
                <w:color w:val="3F3F3F"/>
                <w:sz w:val="24"/>
                <w:szCs w:val="24"/>
              </w:rPr>
              <w:t> </w:t>
            </w:r>
          </w:p>
        </w:tc>
      </w:tr>
    </w:tbl>
    <w:p w14:paraId="0D433221" w14:textId="68FA7E3E" w:rsidR="000E44ED" w:rsidRDefault="000E44ED" w:rsidP="000E44ED">
      <w:pPr>
        <w:spacing w:after="0" w:line="240" w:lineRule="auto"/>
        <w:rPr>
          <w:rFonts w:ascii="Arial" w:eastAsia="Times New Roman" w:hAnsi="Arial" w:cs="Arial"/>
          <w:b/>
          <w:bCs/>
          <w:sz w:val="24"/>
          <w:szCs w:val="24"/>
        </w:rPr>
      </w:pPr>
      <w:r w:rsidRPr="000E44ED">
        <w:rPr>
          <w:rFonts w:ascii="Arial" w:eastAsia="Times New Roman" w:hAnsi="Arial" w:cs="Arial"/>
          <w:b/>
          <w:bCs/>
          <w:color w:val="FFFFFF"/>
          <w:sz w:val="24"/>
          <w:szCs w:val="24"/>
          <w:shd w:val="clear" w:color="auto" w:fill="C1510A"/>
        </w:rPr>
        <w:t>Exhibit11.</w:t>
      </w:r>
      <w:proofErr w:type="gramStart"/>
      <w:r w:rsidRPr="000E44ED">
        <w:rPr>
          <w:rFonts w:ascii="Arial" w:eastAsia="Times New Roman" w:hAnsi="Arial" w:cs="Arial"/>
          <w:b/>
          <w:bCs/>
          <w:color w:val="FFFFFF"/>
          <w:sz w:val="24"/>
          <w:szCs w:val="24"/>
          <w:shd w:val="clear" w:color="auto" w:fill="C1510A"/>
        </w:rPr>
        <w:t>17.</w:t>
      </w:r>
      <w:r w:rsidRPr="000E44ED">
        <w:rPr>
          <w:rFonts w:ascii="Arial" w:eastAsia="Times New Roman" w:hAnsi="Arial" w:cs="Arial"/>
          <w:b/>
          <w:bCs/>
          <w:sz w:val="24"/>
          <w:szCs w:val="24"/>
        </w:rPr>
        <w:t>Hardy</w:t>
      </w:r>
      <w:proofErr w:type="gramEnd"/>
      <w:r w:rsidRPr="000E44ED">
        <w:rPr>
          <w:rFonts w:ascii="Arial" w:eastAsia="Times New Roman" w:hAnsi="Arial" w:cs="Arial"/>
          <w:b/>
          <w:bCs/>
          <w:sz w:val="24"/>
          <w:szCs w:val="24"/>
        </w:rPr>
        <w:t xml:space="preserve"> Hospital Aggregate Strike Disinfectant Weekly Demand as Measured by Hospital Requisitions</w:t>
      </w:r>
    </w:p>
    <w:p w14:paraId="6CC9F214" w14:textId="1A58D624" w:rsidR="00151426" w:rsidRDefault="00151426" w:rsidP="000E44ED">
      <w:pPr>
        <w:spacing w:after="0" w:line="240" w:lineRule="auto"/>
        <w:rPr>
          <w:rFonts w:ascii="Arial" w:eastAsia="Times New Roman" w:hAnsi="Arial" w:cs="Arial"/>
          <w:b/>
          <w:bCs/>
          <w:sz w:val="24"/>
          <w:szCs w:val="24"/>
        </w:rPr>
      </w:pPr>
    </w:p>
    <w:p w14:paraId="5D1BD3B5" w14:textId="77777777" w:rsidR="00151426" w:rsidRPr="000E44ED" w:rsidRDefault="00151426" w:rsidP="000E44ED">
      <w:pPr>
        <w:spacing w:after="0" w:line="240" w:lineRule="auto"/>
        <w:rPr>
          <w:rFonts w:ascii="Times New Roman" w:eastAsia="Times New Roman" w:hAnsi="Times New Roman" w:cs="Times New Roman"/>
          <w:sz w:val="24"/>
          <w:szCs w:val="24"/>
        </w:rPr>
      </w:pPr>
    </w:p>
    <w:p w14:paraId="65E6C8DE" w14:textId="0ABC00D3" w:rsidR="000E44ED" w:rsidRPr="000E44ED" w:rsidRDefault="000E44ED" w:rsidP="000E44ED">
      <w:pPr>
        <w:spacing w:after="0" w:line="240" w:lineRule="auto"/>
        <w:outlineLvl w:val="1"/>
        <w:rPr>
          <w:rFonts w:ascii="Helvetica" w:eastAsia="Times New Roman" w:hAnsi="Helvetica" w:cs="Times New Roman"/>
          <w:b/>
          <w:bCs/>
          <w:color w:val="C1510A"/>
          <w:sz w:val="36"/>
          <w:szCs w:val="36"/>
        </w:rPr>
      </w:pPr>
      <w:r w:rsidRPr="000E44ED">
        <w:rPr>
          <w:rFonts w:ascii="Helvetica" w:eastAsia="Times New Roman" w:hAnsi="Helvetica" w:cs="Times New Roman"/>
          <w:b/>
          <w:bCs/>
          <w:color w:val="C1510A"/>
          <w:sz w:val="36"/>
          <w:szCs w:val="36"/>
          <w:highlight w:val="yellow"/>
        </w:rPr>
        <w:t>Discussion Questions</w:t>
      </w:r>
      <w:r w:rsidR="00033B14">
        <w:rPr>
          <w:rFonts w:ascii="Helvetica" w:eastAsia="Times New Roman" w:hAnsi="Helvetica" w:cs="Times New Roman"/>
          <w:b/>
          <w:bCs/>
          <w:color w:val="C1510A"/>
          <w:sz w:val="36"/>
          <w:szCs w:val="36"/>
        </w:rPr>
        <w:t xml:space="preserve"> </w:t>
      </w:r>
      <w:r w:rsidR="00151426">
        <w:rPr>
          <w:rFonts w:ascii="Helvetica" w:eastAsia="Times New Roman" w:hAnsi="Helvetica" w:cs="Times New Roman"/>
          <w:b/>
          <w:bCs/>
          <w:color w:val="C1510A"/>
          <w:sz w:val="36"/>
          <w:szCs w:val="36"/>
        </w:rPr>
        <w:t>Pleas</w:t>
      </w:r>
      <w:r w:rsidR="00033B14">
        <w:rPr>
          <w:rFonts w:ascii="Helvetica" w:eastAsia="Times New Roman" w:hAnsi="Helvetica" w:cs="Times New Roman"/>
          <w:b/>
          <w:bCs/>
          <w:color w:val="C1510A"/>
          <w:sz w:val="36"/>
          <w:szCs w:val="36"/>
        </w:rPr>
        <w:t>e</w:t>
      </w:r>
      <w:r w:rsidR="00151426">
        <w:rPr>
          <w:rFonts w:ascii="Helvetica" w:eastAsia="Times New Roman" w:hAnsi="Helvetica" w:cs="Times New Roman"/>
          <w:b/>
          <w:bCs/>
          <w:color w:val="C1510A"/>
          <w:sz w:val="36"/>
          <w:szCs w:val="36"/>
        </w:rPr>
        <w:t xml:space="preserve"> answer the following. </w:t>
      </w:r>
    </w:p>
    <w:p w14:paraId="61B4E548" w14:textId="77777777" w:rsidR="000E44ED" w:rsidRPr="000E44ED" w:rsidRDefault="000E44ED" w:rsidP="000E44ED">
      <w:pPr>
        <w:numPr>
          <w:ilvl w:val="0"/>
          <w:numId w:val="1"/>
        </w:numPr>
        <w:spacing w:after="105" w:line="120" w:lineRule="atLeast"/>
        <w:rPr>
          <w:rFonts w:ascii="Arial" w:eastAsia="Times New Roman" w:hAnsi="Arial" w:cs="Arial"/>
          <w:color w:val="3F3F3F"/>
          <w:sz w:val="24"/>
          <w:szCs w:val="24"/>
        </w:rPr>
      </w:pPr>
      <w:r w:rsidRPr="000E44ED">
        <w:rPr>
          <w:rFonts w:ascii="Arial" w:eastAsia="Times New Roman" w:hAnsi="Arial" w:cs="Arial"/>
          <w:color w:val="3F3F3F"/>
          <w:sz w:val="24"/>
          <w:szCs w:val="24"/>
        </w:rPr>
        <w:t>What are good estimates of order cost and inventory-holding cost? (State all assumptions and show all computations.)</w:t>
      </w:r>
    </w:p>
    <w:p w14:paraId="73CCE5ED" w14:textId="77777777" w:rsidR="000E44ED" w:rsidRPr="000E44ED" w:rsidRDefault="000E44ED" w:rsidP="000E44ED">
      <w:pPr>
        <w:numPr>
          <w:ilvl w:val="0"/>
          <w:numId w:val="1"/>
        </w:numPr>
        <w:spacing w:after="105" w:line="120" w:lineRule="atLeast"/>
        <w:rPr>
          <w:rFonts w:ascii="Arial" w:eastAsia="Times New Roman" w:hAnsi="Arial" w:cs="Arial"/>
          <w:color w:val="3F3F3F"/>
          <w:sz w:val="24"/>
          <w:szCs w:val="24"/>
        </w:rPr>
      </w:pPr>
      <w:r w:rsidRPr="000E44ED">
        <w:rPr>
          <w:rFonts w:ascii="Arial" w:eastAsia="Times New Roman" w:hAnsi="Arial" w:cs="Arial"/>
          <w:color w:val="3F3F3F"/>
          <w:sz w:val="24"/>
          <w:szCs w:val="24"/>
        </w:rPr>
        <w:t>What is the EOQ and reorder point with safety stock for Strike Disinfectant given your answer to question 1?</w:t>
      </w:r>
    </w:p>
    <w:p w14:paraId="169DAF15" w14:textId="77777777" w:rsidR="000E44ED" w:rsidRPr="000E44ED" w:rsidRDefault="000E44ED" w:rsidP="000E44ED">
      <w:pPr>
        <w:numPr>
          <w:ilvl w:val="0"/>
          <w:numId w:val="1"/>
        </w:numPr>
        <w:spacing w:after="105" w:line="120" w:lineRule="atLeast"/>
        <w:rPr>
          <w:rFonts w:ascii="Arial" w:eastAsia="Times New Roman" w:hAnsi="Arial" w:cs="Arial"/>
          <w:color w:val="3F3F3F"/>
          <w:sz w:val="24"/>
          <w:szCs w:val="24"/>
        </w:rPr>
      </w:pPr>
      <w:r w:rsidRPr="000E44ED">
        <w:rPr>
          <w:rFonts w:ascii="Arial" w:eastAsia="Times New Roman" w:hAnsi="Arial" w:cs="Arial"/>
          <w:color w:val="3F3F3F"/>
          <w:sz w:val="24"/>
          <w:szCs w:val="24"/>
        </w:rPr>
        <w:t>Compute the total order and inventory-holding costs for a fixed-quantity system (FQS) and compare to the current order </w:t>
      </w:r>
      <w:r w:rsidRPr="000E44ED">
        <w:rPr>
          <w:rFonts w:ascii="Arial" w:eastAsia="Times New Roman" w:hAnsi="Arial" w:cs="Arial"/>
          <w:i/>
          <w:iCs/>
          <w:color w:val="3F3F3F"/>
          <w:sz w:val="24"/>
          <w:szCs w:val="24"/>
        </w:rPr>
        <w:t>Q</w:t>
      </w:r>
      <w:r w:rsidRPr="000E44ED">
        <w:rPr>
          <w:rFonts w:ascii="Arial" w:eastAsia="Times New Roman" w:hAnsi="Arial" w:cs="Arial"/>
          <w:color w:val="3F3F3F"/>
          <w:sz w:val="24"/>
          <w:szCs w:val="24"/>
        </w:rPr>
        <w:t>’s. Can you save money by adopting an FQS?</w:t>
      </w:r>
    </w:p>
    <w:p w14:paraId="3A528761" w14:textId="77777777" w:rsidR="000E44ED" w:rsidRPr="000E44ED" w:rsidRDefault="000E44ED" w:rsidP="000E44ED">
      <w:pPr>
        <w:numPr>
          <w:ilvl w:val="0"/>
          <w:numId w:val="1"/>
        </w:numPr>
        <w:spacing w:after="105" w:line="120" w:lineRule="atLeast"/>
        <w:rPr>
          <w:rFonts w:ascii="Arial" w:eastAsia="Times New Roman" w:hAnsi="Arial" w:cs="Arial"/>
          <w:color w:val="3F3F3F"/>
          <w:sz w:val="24"/>
          <w:szCs w:val="24"/>
        </w:rPr>
      </w:pPr>
      <w:r w:rsidRPr="000E44ED">
        <w:rPr>
          <w:rFonts w:ascii="Arial" w:eastAsia="Times New Roman" w:hAnsi="Arial" w:cs="Arial"/>
          <w:color w:val="3F3F3F"/>
          <w:sz w:val="24"/>
          <w:szCs w:val="24"/>
        </w:rPr>
        <w:t>What are your final recommendations, including what you would recommend regarding regular and special orders, the state bidding system, and overall control of the university materials-management system? Explain the reasoning for your recommendations.</w:t>
      </w:r>
    </w:p>
    <w:p w14:paraId="01A02381" w14:textId="77777777" w:rsidR="002D1ED3" w:rsidRDefault="00033B14"/>
    <w:sectPr w:rsidR="002D1E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5D262D"/>
    <w:multiLevelType w:val="multilevel"/>
    <w:tmpl w:val="A34C3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4ED"/>
    <w:rsid w:val="00033B14"/>
    <w:rsid w:val="000C60E8"/>
    <w:rsid w:val="000E44ED"/>
    <w:rsid w:val="00151426"/>
    <w:rsid w:val="002E7631"/>
    <w:rsid w:val="00F93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12564"/>
  <w15:chartTrackingRefBased/>
  <w15:docId w15:val="{C23B735A-F119-4E02-A1B3-97953893E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E44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E44E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44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E44E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E44ED"/>
    <w:rPr>
      <w:rFonts w:ascii="Times New Roman" w:eastAsia="Times New Roman" w:hAnsi="Times New Roman" w:cs="Times New Roman"/>
      <w:b/>
      <w:bCs/>
      <w:sz w:val="36"/>
      <w:szCs w:val="36"/>
    </w:rPr>
  </w:style>
  <w:style w:type="character" w:customStyle="1" w:styleId="page">
    <w:name w:val="page"/>
    <w:basedOn w:val="DefaultParagraphFont"/>
    <w:rsid w:val="000E44ED"/>
  </w:style>
  <w:style w:type="character" w:styleId="Emphasis">
    <w:name w:val="Emphasis"/>
    <w:basedOn w:val="DefaultParagraphFont"/>
    <w:uiPriority w:val="20"/>
    <w:qFormat/>
    <w:rsid w:val="000E44ED"/>
    <w:rPr>
      <w:i/>
      <w:iCs/>
    </w:rPr>
  </w:style>
  <w:style w:type="paragraph" w:customStyle="1" w:styleId="mediacredit">
    <w:name w:val="mediacredit"/>
    <w:basedOn w:val="Normal"/>
    <w:rsid w:val="000E44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ref">
    <w:name w:val="xref"/>
    <w:basedOn w:val="DefaultParagraphFont"/>
    <w:rsid w:val="000E44ED"/>
  </w:style>
  <w:style w:type="character" w:customStyle="1" w:styleId="title">
    <w:name w:val="title"/>
    <w:basedOn w:val="DefaultParagraphFont"/>
    <w:rsid w:val="000E44ED"/>
  </w:style>
  <w:style w:type="character" w:customStyle="1" w:styleId="label">
    <w:name w:val="label"/>
    <w:basedOn w:val="DefaultParagraphFont"/>
    <w:rsid w:val="000E44ED"/>
  </w:style>
  <w:style w:type="character" w:customStyle="1" w:styleId="ordinal">
    <w:name w:val="ordinal"/>
    <w:basedOn w:val="DefaultParagraphFont"/>
    <w:rsid w:val="000E44ED"/>
  </w:style>
  <w:style w:type="character" w:styleId="Hyperlink">
    <w:name w:val="Hyperlink"/>
    <w:basedOn w:val="DefaultParagraphFont"/>
    <w:uiPriority w:val="99"/>
    <w:semiHidden/>
    <w:unhideWhenUsed/>
    <w:rsid w:val="000E44ED"/>
    <w:rPr>
      <w:color w:val="0000FF"/>
      <w:u w:val="single"/>
    </w:rPr>
  </w:style>
  <w:style w:type="paragraph" w:styleId="ListParagraph">
    <w:name w:val="List Paragraph"/>
    <w:basedOn w:val="Normal"/>
    <w:uiPriority w:val="34"/>
    <w:qFormat/>
    <w:rsid w:val="002E7631"/>
    <w:pPr>
      <w:ind w:left="720"/>
      <w:contextualSpacing/>
    </w:pPr>
  </w:style>
  <w:style w:type="paragraph" w:styleId="NoSpacing">
    <w:name w:val="No Spacing"/>
    <w:uiPriority w:val="1"/>
    <w:qFormat/>
    <w:rsid w:val="001514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10558">
      <w:bodyDiv w:val="1"/>
      <w:marLeft w:val="0"/>
      <w:marRight w:val="0"/>
      <w:marTop w:val="0"/>
      <w:marBottom w:val="0"/>
      <w:divBdr>
        <w:top w:val="none" w:sz="0" w:space="0" w:color="auto"/>
        <w:left w:val="none" w:sz="0" w:space="0" w:color="auto"/>
        <w:bottom w:val="none" w:sz="0" w:space="0" w:color="auto"/>
        <w:right w:val="none" w:sz="0" w:space="0" w:color="auto"/>
      </w:divBdr>
      <w:divsChild>
        <w:div w:id="1766732797">
          <w:marLeft w:val="0"/>
          <w:marRight w:val="0"/>
          <w:marTop w:val="0"/>
          <w:marBottom w:val="0"/>
          <w:divBdr>
            <w:top w:val="none" w:sz="0" w:space="0" w:color="auto"/>
            <w:left w:val="none" w:sz="0" w:space="0" w:color="auto"/>
            <w:bottom w:val="none" w:sz="0" w:space="0" w:color="auto"/>
            <w:right w:val="none" w:sz="0" w:space="0" w:color="auto"/>
          </w:divBdr>
        </w:div>
        <w:div w:id="260572204">
          <w:marLeft w:val="0"/>
          <w:marRight w:val="0"/>
          <w:marTop w:val="0"/>
          <w:marBottom w:val="0"/>
          <w:divBdr>
            <w:top w:val="none" w:sz="0" w:space="0" w:color="auto"/>
            <w:left w:val="none" w:sz="0" w:space="0" w:color="auto"/>
            <w:bottom w:val="none" w:sz="0" w:space="0" w:color="auto"/>
            <w:right w:val="none" w:sz="0" w:space="0" w:color="auto"/>
          </w:divBdr>
          <w:divsChild>
            <w:div w:id="163259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65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books.cenreade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books.cenreader.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1080</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1</cp:revision>
  <dcterms:created xsi:type="dcterms:W3CDTF">2021-10-13T04:05:00Z</dcterms:created>
  <dcterms:modified xsi:type="dcterms:W3CDTF">2021-10-13T20:47:00Z</dcterms:modified>
</cp:coreProperties>
</file>