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line="480" w:lineRule="auto"/>
        <w:jc w:val="both"/>
        <w:rPr>
          <w:rFonts w:ascii="Times New Roman" w:cs="Times New Roman" w:hAnsi="Times New Roman" w:eastAsia="Times New Roman"/>
          <w:sz w:val="24"/>
          <w:szCs w:val="24"/>
        </w:rPr>
      </w:pPr>
      <w:r>
        <w:rPr>
          <w:rFonts w:ascii="Times New Roman" w:hAnsi="Times New Roman"/>
          <w:sz w:val="24"/>
          <w:szCs w:val="24"/>
          <w:rtl w:val="0"/>
          <w:lang w:val="en-US"/>
        </w:rPr>
        <w:t>Kylee Bates</w:t>
      </w:r>
    </w:p>
    <w:p>
      <w:pPr>
        <w:pStyle w:val="Body"/>
        <w:spacing w:line="480" w:lineRule="auto"/>
        <w:jc w:val="both"/>
        <w:rPr>
          <w:rFonts w:ascii="Times New Roman" w:cs="Times New Roman" w:hAnsi="Times New Roman" w:eastAsia="Times New Roman"/>
          <w:sz w:val="24"/>
          <w:szCs w:val="24"/>
        </w:rPr>
      </w:pPr>
      <w:r>
        <w:rPr>
          <w:rFonts w:ascii="Times New Roman" w:hAnsi="Times New Roman"/>
          <w:sz w:val="24"/>
          <w:szCs w:val="24"/>
          <w:rtl w:val="0"/>
          <w:lang w:val="en-US"/>
        </w:rPr>
        <w:t>Professor Castillo</w:t>
      </w:r>
    </w:p>
    <w:p>
      <w:pPr>
        <w:pStyle w:val="Body"/>
        <w:spacing w:line="480" w:lineRule="auto"/>
        <w:jc w:val="both"/>
        <w:rPr>
          <w:rFonts w:ascii="Times New Roman" w:cs="Times New Roman" w:hAnsi="Times New Roman" w:eastAsia="Times New Roman"/>
          <w:sz w:val="24"/>
          <w:szCs w:val="24"/>
        </w:rPr>
      </w:pPr>
      <w:r>
        <w:rPr>
          <w:rFonts w:ascii="Times New Roman" w:hAnsi="Times New Roman"/>
          <w:sz w:val="24"/>
          <w:szCs w:val="24"/>
          <w:rtl w:val="0"/>
          <w:lang w:val="en-US"/>
        </w:rPr>
        <w:t>24th of September 2021</w:t>
      </w:r>
    </w:p>
    <w:p>
      <w:pPr>
        <w:pStyle w:val="Body"/>
        <w:spacing w:line="480" w:lineRule="auto"/>
        <w:jc w:val="center"/>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Pendergrass constructions v. Ingram</w:t>
      </w:r>
    </w:p>
    <w:p>
      <w:pPr>
        <w:pStyle w:val="Body"/>
        <w:spacing w:line="480" w:lineRule="auto"/>
        <w:ind w:firstLine="720"/>
        <w:jc w:val="both"/>
        <w:rPr>
          <w:rFonts w:ascii="Times New Roman" w:cs="Times New Roman" w:hAnsi="Times New Roman" w:eastAsia="Times New Roman"/>
          <w:sz w:val="24"/>
          <w:szCs w:val="24"/>
        </w:rPr>
      </w:pPr>
      <w:r>
        <w:rPr>
          <w:rFonts w:ascii="Times New Roman" w:hAnsi="Times New Roman"/>
          <w:sz w:val="24"/>
          <w:szCs w:val="24"/>
          <w:rtl w:val="0"/>
          <w:lang w:val="en-US"/>
        </w:rPr>
        <w:t xml:space="preserve">The facts presented for this case indicated that Pendergrass </w:t>
      </w:r>
      <w:r>
        <w:rPr>
          <w:rFonts w:ascii="Times New Roman" w:hAnsi="Times New Roman"/>
          <w:sz w:val="24"/>
          <w:szCs w:val="24"/>
          <w:rtl w:val="0"/>
          <w:lang w:val="en-US"/>
        </w:rPr>
        <w:t>C</w:t>
      </w:r>
      <w:r>
        <w:rPr>
          <w:rFonts w:ascii="Times New Roman" w:hAnsi="Times New Roman"/>
          <w:sz w:val="24"/>
          <w:szCs w:val="24"/>
          <w:rtl w:val="0"/>
          <w:lang w:val="en-US"/>
        </w:rPr>
        <w:t xml:space="preserve">onstructions, the plaintiffs were contracted by Ingram, the defendant, to do some work on his property for a fee of </w:t>
      </w:r>
      <w:r>
        <w:rPr>
          <w:rFonts w:ascii="Times New Roman" w:hAnsi="Times New Roman"/>
          <w:sz w:val="24"/>
          <w:szCs w:val="24"/>
          <w:rtl w:val="0"/>
          <w:lang w:val="en-US"/>
        </w:rPr>
        <w:t>$</w:t>
      </w:r>
      <w:r>
        <w:rPr>
          <w:rFonts w:ascii="Times New Roman" w:hAnsi="Times New Roman"/>
          <w:sz w:val="24"/>
          <w:szCs w:val="24"/>
          <w:rtl w:val="0"/>
          <w:lang w:val="en-US"/>
        </w:rPr>
        <w:t xml:space="preserve">2500. The defendant wanted Pendergrass </w:t>
      </w:r>
      <w:r>
        <w:rPr>
          <w:rFonts w:ascii="Times New Roman" w:hAnsi="Times New Roman"/>
          <w:sz w:val="24"/>
          <w:szCs w:val="24"/>
          <w:rtl w:val="0"/>
          <w:lang w:val="en-US"/>
        </w:rPr>
        <w:t>C</w:t>
      </w:r>
      <w:r>
        <w:rPr>
          <w:rFonts w:ascii="Times New Roman" w:hAnsi="Times New Roman"/>
          <w:sz w:val="24"/>
          <w:szCs w:val="24"/>
          <w:rtl w:val="0"/>
          <w:lang w:val="en-US"/>
        </w:rPr>
        <w:t xml:space="preserve">onstruction to do some additional work for him, although this was not part of the initial agreement. After completing the additional work besides the original contract, the plaintiff sent an invoice amounting to </w:t>
      </w:r>
      <w:r>
        <w:rPr>
          <w:rFonts w:ascii="Times New Roman" w:hAnsi="Times New Roman"/>
          <w:sz w:val="24"/>
          <w:szCs w:val="24"/>
          <w:rtl w:val="0"/>
          <w:lang w:val="en-US"/>
        </w:rPr>
        <w:t>$</w:t>
      </w:r>
      <w:r>
        <w:rPr>
          <w:rFonts w:ascii="Times New Roman" w:hAnsi="Times New Roman"/>
          <w:sz w:val="24"/>
          <w:szCs w:val="24"/>
          <w:rtl w:val="0"/>
          <w:lang w:val="en-US"/>
        </w:rPr>
        <w:t xml:space="preserve">9073 to the defendant for the total work done. The defendant, however, sent the plaintiff a check for </w:t>
      </w:r>
      <w:r>
        <w:rPr>
          <w:rFonts w:ascii="Times New Roman" w:hAnsi="Times New Roman"/>
          <w:sz w:val="24"/>
          <w:szCs w:val="24"/>
          <w:rtl w:val="0"/>
          <w:lang w:val="en-US"/>
        </w:rPr>
        <w:t>$</w:t>
      </w:r>
      <w:r>
        <w:rPr>
          <w:rFonts w:ascii="Times New Roman" w:hAnsi="Times New Roman"/>
          <w:sz w:val="24"/>
          <w:szCs w:val="24"/>
          <w:rtl w:val="0"/>
        </w:rPr>
        <w:t>1</w:t>
      </w:r>
      <w:r>
        <w:rPr>
          <w:rFonts w:ascii="Times New Roman" w:hAnsi="Times New Roman"/>
          <w:sz w:val="24"/>
          <w:szCs w:val="24"/>
          <w:rtl w:val="0"/>
          <w:lang w:val="en-US"/>
        </w:rPr>
        <w:t>5</w:t>
      </w:r>
      <w:r>
        <w:rPr>
          <w:rFonts w:ascii="Times New Roman" w:hAnsi="Times New Roman"/>
          <w:sz w:val="24"/>
          <w:szCs w:val="24"/>
          <w:rtl w:val="0"/>
        </w:rPr>
        <w:t>00</w:t>
      </w:r>
      <w:r>
        <w:rPr>
          <w:rFonts w:ascii="Times New Roman" w:hAnsi="Times New Roman"/>
          <w:sz w:val="24"/>
          <w:szCs w:val="24"/>
          <w:rtl w:val="0"/>
          <w:lang w:val="en-US"/>
        </w:rPr>
        <w:t xml:space="preserve"> </w:t>
      </w:r>
      <w:r>
        <w:rPr>
          <w:rFonts w:ascii="Times New Roman" w:hAnsi="Times New Roman"/>
          <w:sz w:val="24"/>
          <w:szCs w:val="24"/>
          <w:rtl w:val="0"/>
        </w:rPr>
        <w:t xml:space="preserve">marked </w:t>
      </w:r>
      <w:r>
        <w:rPr>
          <w:rFonts w:ascii="Times New Roman" w:hAnsi="Times New Roman"/>
          <w:i w:val="1"/>
          <w:iCs w:val="1"/>
          <w:sz w:val="24"/>
          <w:szCs w:val="24"/>
          <w:rtl w:val="0"/>
          <w:lang w:val="en-US"/>
        </w:rPr>
        <w:t>paid in full</w:t>
      </w:r>
      <w:r>
        <w:rPr>
          <w:rFonts w:ascii="Times New Roman" w:hAnsi="Times New Roman"/>
          <w:sz w:val="24"/>
          <w:szCs w:val="24"/>
          <w:rtl w:val="0"/>
          <w:lang w:val="en-US"/>
        </w:rPr>
        <w:t xml:space="preserve">, arguing that the total cost for the contract could not be more than </w:t>
      </w:r>
      <w:r>
        <w:rPr>
          <w:rFonts w:ascii="Times New Roman" w:hAnsi="Times New Roman"/>
          <w:sz w:val="24"/>
          <w:szCs w:val="24"/>
          <w:rtl w:val="0"/>
          <w:lang w:val="en-US"/>
        </w:rPr>
        <w:t>$</w:t>
      </w:r>
      <w:r>
        <w:rPr>
          <w:rFonts w:ascii="Times New Roman" w:hAnsi="Times New Roman"/>
          <w:sz w:val="24"/>
          <w:szCs w:val="24"/>
          <w:rtl w:val="0"/>
          <w:lang w:val="en-US"/>
        </w:rPr>
        <w:t xml:space="preserve">1500. However, Pendergrass </w:t>
      </w:r>
      <w:r>
        <w:rPr>
          <w:rFonts w:ascii="Times New Roman" w:hAnsi="Times New Roman"/>
          <w:sz w:val="24"/>
          <w:szCs w:val="24"/>
          <w:rtl w:val="0"/>
          <w:lang w:val="en-US"/>
        </w:rPr>
        <w:t>C</w:t>
      </w:r>
      <w:r>
        <w:rPr>
          <w:rFonts w:ascii="Times New Roman" w:hAnsi="Times New Roman"/>
          <w:sz w:val="24"/>
          <w:szCs w:val="24"/>
          <w:rtl w:val="0"/>
          <w:lang w:val="en-US"/>
        </w:rPr>
        <w:t xml:space="preserve">onstruction demanded an additional payment of </w:t>
      </w:r>
      <w:r>
        <w:rPr>
          <w:rFonts w:ascii="Times New Roman" w:hAnsi="Times New Roman"/>
          <w:sz w:val="24"/>
          <w:szCs w:val="24"/>
          <w:rtl w:val="0"/>
          <w:lang w:val="en-US"/>
        </w:rPr>
        <w:t>$</w:t>
      </w:r>
      <w:r>
        <w:rPr>
          <w:rFonts w:ascii="Times New Roman" w:hAnsi="Times New Roman"/>
          <w:sz w:val="24"/>
          <w:szCs w:val="24"/>
          <w:rtl w:val="0"/>
          <w:lang w:val="en-US"/>
        </w:rPr>
        <w:t xml:space="preserve">8073, disputing any attempts as accord and satisfaction. The trial court ruled in favor of the plaintiffs and found the defendant liable for breach of contract. The defendant appealed this decision. </w:t>
      </w:r>
    </w:p>
    <w:p>
      <w:pPr>
        <w:pStyle w:val="Body"/>
        <w:spacing w:line="480" w:lineRule="auto"/>
        <w:jc w:val="center"/>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Issue</w:t>
      </w:r>
    </w:p>
    <w:p>
      <w:pPr>
        <w:pStyle w:val="Body"/>
        <w:spacing w:line="480" w:lineRule="auto"/>
        <w:ind w:firstLine="720"/>
        <w:jc w:val="both"/>
        <w:rPr>
          <w:rFonts w:ascii="Times New Roman" w:cs="Times New Roman" w:hAnsi="Times New Roman" w:eastAsia="Times New Roman"/>
          <w:sz w:val="24"/>
          <w:szCs w:val="24"/>
        </w:rPr>
      </w:pPr>
      <w:r>
        <w:rPr>
          <w:rFonts w:ascii="Times New Roman" w:hAnsi="Times New Roman"/>
          <w:sz w:val="24"/>
          <w:szCs w:val="24"/>
          <w:rtl w:val="0"/>
          <w:lang w:val="en-US"/>
        </w:rPr>
        <w:t xml:space="preserve">The issue for the Court to decide was whether accord and satisfaction of the disputed debt were sufficiently constituted when Pendergrass deposited the check even though they crossed through the </w:t>
      </w:r>
      <w:r>
        <w:rPr>
          <w:rFonts w:ascii="Times New Roman" w:hAnsi="Times New Roman"/>
          <w:i w:val="1"/>
          <w:iCs w:val="1"/>
          <w:sz w:val="24"/>
          <w:szCs w:val="24"/>
          <w:rtl w:val="0"/>
          <w:lang w:val="en-US"/>
        </w:rPr>
        <w:t>"paid in full"</w:t>
      </w:r>
      <w:r>
        <w:rPr>
          <w:rFonts w:ascii="Times New Roman" w:hAnsi="Times New Roman"/>
          <w:sz w:val="24"/>
          <w:szCs w:val="24"/>
          <w:rtl w:val="0"/>
          <w:lang w:val="en-US"/>
        </w:rPr>
        <w:t xml:space="preserve"> notation. The Court established whether or not a payment noted as </w:t>
      </w:r>
      <w:r>
        <w:rPr>
          <w:rFonts w:ascii="Times New Roman" w:hAnsi="Times New Roman"/>
          <w:i w:val="1"/>
          <w:iCs w:val="1"/>
          <w:sz w:val="24"/>
          <w:szCs w:val="24"/>
          <w:rtl w:val="0"/>
          <w:lang w:val="en-US"/>
        </w:rPr>
        <w:t>"paid in full"</w:t>
      </w:r>
      <w:r>
        <w:rPr>
          <w:rFonts w:ascii="Times New Roman" w:hAnsi="Times New Roman"/>
          <w:sz w:val="24"/>
          <w:szCs w:val="24"/>
          <w:rtl w:val="0"/>
          <w:lang w:val="en-US"/>
        </w:rPr>
        <w:t xml:space="preserve"> is answered by considering the parties' intent. A payment with such a notation is often tendered to constitute an accord and satisfaction; thus, the receiving party should receive the check that way or not receive it at all if he does not agree to the payment. The Court of Appeals reversed the trial court</w:t>
      </w:r>
      <w:r>
        <w:rPr>
          <w:rFonts w:ascii="Times New Roman" w:hAnsi="Times New Roman" w:hint="default"/>
          <w:sz w:val="24"/>
          <w:szCs w:val="24"/>
          <w:rtl w:val="0"/>
          <w:lang w:val="en-US"/>
        </w:rPr>
        <w:t>’</w:t>
      </w:r>
      <w:r>
        <w:rPr>
          <w:rFonts w:ascii="Times New Roman" w:hAnsi="Times New Roman"/>
          <w:sz w:val="24"/>
          <w:szCs w:val="24"/>
          <w:rtl w:val="0"/>
          <w:lang w:val="en-US"/>
        </w:rPr>
        <w:t>s decision. It held that the creditor's collection and endorsement on a check offered by the debtor on condition of satisfaction of a debt sufficiently constituted accord and satisfaction. It did not make a difference that the plaintiffs had marked through the check before cashing it.</w:t>
      </w:r>
    </w:p>
    <w:p>
      <w:pPr>
        <w:pStyle w:val="Body"/>
        <w:spacing w:line="480" w:lineRule="auto"/>
        <w:jc w:val="center"/>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Opinion-based arguments</w:t>
      </w:r>
    </w:p>
    <w:p>
      <w:pPr>
        <w:pStyle w:val="Body"/>
        <w:spacing w:line="480" w:lineRule="auto"/>
        <w:ind w:firstLine="720"/>
        <w:jc w:val="both"/>
        <w:rPr>
          <w:rFonts w:ascii="Times New Roman" w:cs="Times New Roman" w:hAnsi="Times New Roman" w:eastAsia="Times New Roman"/>
          <w:sz w:val="24"/>
          <w:szCs w:val="24"/>
        </w:rPr>
      </w:pPr>
      <w:r>
        <w:rPr>
          <w:rFonts w:ascii="Times New Roman" w:hAnsi="Times New Roman"/>
          <w:sz w:val="24"/>
          <w:szCs w:val="24"/>
          <w:rtl w:val="0"/>
          <w:lang w:val="en-US"/>
        </w:rPr>
        <w:t xml:space="preserve">This case involved the legal principle of accord and satisfaction. This notation is commonly used when payment involves disputes. Ingram attempted to use this legal principle to satisfy the obligation with payment for less than the amount shown on the invoice's face. In this view, he submitted the payment with the notation paid in full. Notably, this placed the burden on the receiving party, Pendergrass </w:t>
      </w:r>
      <w:r>
        <w:rPr>
          <w:rFonts w:ascii="Times New Roman" w:hAnsi="Times New Roman"/>
          <w:sz w:val="24"/>
          <w:szCs w:val="24"/>
          <w:rtl w:val="0"/>
          <w:lang w:val="en-US"/>
        </w:rPr>
        <w:t>C</w:t>
      </w:r>
      <w:r>
        <w:rPr>
          <w:rFonts w:ascii="Times New Roman" w:hAnsi="Times New Roman"/>
          <w:sz w:val="24"/>
          <w:szCs w:val="24"/>
          <w:rtl w:val="0"/>
          <w:lang w:val="fr-FR"/>
        </w:rPr>
        <w:t xml:space="preserve">onstruction </w:t>
      </w:r>
      <w:r>
        <w:rPr>
          <w:rFonts w:ascii="Times New Roman" w:hAnsi="Times New Roman"/>
          <w:sz w:val="24"/>
          <w:szCs w:val="24"/>
          <w:rtl w:val="0"/>
          <w:lang w:val="en-US"/>
        </w:rPr>
        <w:t>C</w:t>
      </w:r>
      <w:r>
        <w:rPr>
          <w:rFonts w:ascii="Times New Roman" w:hAnsi="Times New Roman"/>
          <w:sz w:val="24"/>
          <w:szCs w:val="24"/>
          <w:rtl w:val="0"/>
          <w:lang w:val="en-US"/>
        </w:rPr>
        <w:t xml:space="preserve">ompany, to either accept or deny the payment as full satisfaction of the outstanding amount. It is important to note that the fact the cashier at Pendergrass </w:t>
      </w:r>
      <w:r>
        <w:rPr>
          <w:rFonts w:ascii="Times New Roman" w:hAnsi="Times New Roman"/>
          <w:sz w:val="24"/>
          <w:szCs w:val="24"/>
          <w:rtl w:val="0"/>
          <w:lang w:val="en-US"/>
        </w:rPr>
        <w:t>C</w:t>
      </w:r>
      <w:r>
        <w:rPr>
          <w:rFonts w:ascii="Times New Roman" w:hAnsi="Times New Roman"/>
          <w:sz w:val="24"/>
          <w:szCs w:val="24"/>
          <w:rtl w:val="0"/>
          <w:lang w:val="en-US"/>
        </w:rPr>
        <w:t xml:space="preserve">onstruction marked through the paid in full notation on the check and cashed it technically places them in the accord agreement with Ingram. </w:t>
      </w:r>
    </w:p>
    <w:p>
      <w:pPr>
        <w:pStyle w:val="Body"/>
        <w:spacing w:line="480" w:lineRule="auto"/>
        <w:ind w:firstLine="720"/>
        <w:jc w:val="both"/>
        <w:rPr>
          <w:rFonts w:ascii="Times New Roman" w:cs="Times New Roman" w:hAnsi="Times New Roman" w:eastAsia="Times New Roman"/>
          <w:sz w:val="24"/>
          <w:szCs w:val="24"/>
        </w:rPr>
      </w:pPr>
      <w:r>
        <w:rPr>
          <w:rFonts w:ascii="Times New Roman" w:hAnsi="Times New Roman"/>
          <w:sz w:val="24"/>
          <w:szCs w:val="24"/>
          <w:rtl w:val="0"/>
          <w:lang w:val="en-US"/>
        </w:rPr>
        <w:t>The Court should rule in favor of Ingram because depositing the check itself constituted the first step of establishing an accord and satisfaction principle between the two parties involved in the disputed debt. Additionally, the Court should also consider the fact that despite Ingram indicating the check as paid in full, Pendergrass went ahead to deposit the check for payment. The law indicates that</w:t>
      </w:r>
      <w:r>
        <w:rPr>
          <w:rFonts w:ascii="Times New Roman" w:hAnsi="Times New Roman"/>
          <w:i w:val="1"/>
          <w:iCs w:val="1"/>
          <w:sz w:val="24"/>
          <w:szCs w:val="24"/>
          <w:rtl w:val="0"/>
          <w:lang w:val="en-US"/>
        </w:rPr>
        <w:t xml:space="preserve"> endorsement and collection of a marked check may generally operate as grounds for accord and satisfaction</w:t>
      </w:r>
      <w:r>
        <w:rPr>
          <w:rFonts w:ascii="Times New Roman" w:hAnsi="Times New Roman"/>
          <w:sz w:val="24"/>
          <w:szCs w:val="24"/>
          <w:rtl w:val="0"/>
          <w:lang w:val="en-US"/>
        </w:rPr>
        <w:t xml:space="preserve">. In this view, the trial court may have erred in considering the manner in which Pendergrass handled the notated check. </w:t>
      </w:r>
    </w:p>
    <w:p>
      <w:pPr>
        <w:pStyle w:val="Body"/>
        <w:spacing w:line="480" w:lineRule="auto"/>
        <w:ind w:firstLine="720"/>
        <w:jc w:val="both"/>
        <w:rPr>
          <w:rFonts w:ascii="Times New Roman" w:cs="Times New Roman" w:hAnsi="Times New Roman" w:eastAsia="Times New Roman"/>
          <w:sz w:val="24"/>
          <w:szCs w:val="24"/>
        </w:rPr>
      </w:pPr>
      <w:r>
        <w:rPr>
          <w:rFonts w:ascii="Times New Roman" w:hAnsi="Times New Roman"/>
          <w:sz w:val="24"/>
          <w:szCs w:val="24"/>
          <w:rtl w:val="0"/>
          <w:lang w:val="en-US"/>
        </w:rPr>
        <w:t xml:space="preserve">So, what does this mean to the construction industry? In the future, contractors with open accounts receivable from the disputing party should pay attention to payments submitted in their accounts. If they notice notation on the face of the check, then this should suggest that the client may be attempting to pay less than the total amount under the principle of accord and satisfaction; the check should not be deposited. </w:t>
      </w:r>
    </w:p>
    <w:p>
      <w:pPr>
        <w:pStyle w:val="Body"/>
        <w:spacing w:line="480" w:lineRule="auto"/>
        <w:jc w:val="both"/>
        <w:rPr>
          <w:rFonts w:ascii="Times New Roman" w:cs="Times New Roman" w:hAnsi="Times New Roman" w:eastAsia="Times New Roman"/>
          <w:sz w:val="24"/>
          <w:szCs w:val="24"/>
        </w:rPr>
      </w:pPr>
      <w:r>
        <w:rPr>
          <w:rFonts w:ascii="Times New Roman" w:hAnsi="Times New Roman"/>
          <w:sz w:val="24"/>
          <w:szCs w:val="24"/>
          <w:rtl w:val="0"/>
          <w:lang w:val="en-US"/>
        </w:rPr>
        <w:t xml:space="preserve">This is because under the Tennessee statute </w:t>
      </w:r>
      <w:r>
        <w:rPr>
          <w:rFonts w:ascii="Times New Roman" w:hAnsi="Times New Roman"/>
          <w:i w:val="1"/>
          <w:iCs w:val="1"/>
          <w:sz w:val="24"/>
          <w:szCs w:val="24"/>
          <w:rtl w:val="0"/>
          <w:lang w:val="it-IT"/>
        </w:rPr>
        <w:t xml:space="preserve">T.C.A. </w:t>
      </w:r>
      <w:r>
        <w:rPr>
          <w:rFonts w:ascii="Times New Roman" w:hAnsi="Times New Roman" w:hint="default"/>
          <w:i w:val="1"/>
          <w:iCs w:val="1"/>
          <w:sz w:val="24"/>
          <w:szCs w:val="24"/>
          <w:rtl w:val="0"/>
          <w:lang w:val="en-US"/>
        </w:rPr>
        <w:t>§</w:t>
      </w:r>
      <w:r>
        <w:rPr>
          <w:rFonts w:ascii="Times New Roman" w:hAnsi="Times New Roman"/>
          <w:i w:val="1"/>
          <w:iCs w:val="1"/>
          <w:sz w:val="24"/>
          <w:szCs w:val="24"/>
          <w:rtl w:val="0"/>
          <w:lang w:val="en-US"/>
        </w:rPr>
        <w:t xml:space="preserve">47-3-311, if a person or business owed money (a creditor), cashes a check marked </w:t>
      </w:r>
      <w:r>
        <w:rPr>
          <w:rFonts w:ascii="Times New Roman" w:hAnsi="Times New Roman" w:hint="default"/>
          <w:i w:val="1"/>
          <w:iCs w:val="1"/>
          <w:sz w:val="24"/>
          <w:szCs w:val="24"/>
          <w:rtl w:val="0"/>
          <w:lang w:val="en-US"/>
        </w:rPr>
        <w:t>“</w:t>
      </w:r>
      <w:r>
        <w:rPr>
          <w:rFonts w:ascii="Times New Roman" w:hAnsi="Times New Roman"/>
          <w:i w:val="1"/>
          <w:iCs w:val="1"/>
          <w:sz w:val="24"/>
          <w:szCs w:val="24"/>
          <w:rtl w:val="0"/>
          <w:lang w:val="en-US"/>
        </w:rPr>
        <w:t>paid in full</w:t>
      </w:r>
      <w:r>
        <w:rPr>
          <w:rFonts w:ascii="Times New Roman" w:hAnsi="Times New Roman" w:hint="default"/>
          <w:i w:val="1"/>
          <w:iCs w:val="1"/>
          <w:sz w:val="24"/>
          <w:szCs w:val="24"/>
          <w:rtl w:val="0"/>
          <w:lang w:val="en-US"/>
        </w:rPr>
        <w:t xml:space="preserve">” </w:t>
      </w:r>
      <w:r>
        <w:rPr>
          <w:rFonts w:ascii="Times New Roman" w:hAnsi="Times New Roman"/>
          <w:i w:val="1"/>
          <w:iCs w:val="1"/>
          <w:sz w:val="24"/>
          <w:szCs w:val="24"/>
          <w:rtl w:val="0"/>
          <w:lang w:val="en-US"/>
        </w:rPr>
        <w:t>or with similar language, or cashes a check sent with a letter stating that the payment</w:t>
      </w:r>
      <w:r>
        <w:rPr>
          <w:rFonts w:ascii="Times New Roman" w:hAnsi="Times New Roman"/>
          <w:sz w:val="24"/>
          <w:szCs w:val="24"/>
          <w:rtl w:val="0"/>
        </w:rPr>
        <w:t xml:space="preserve"> </w:t>
      </w:r>
      <w:r>
        <w:rPr>
          <w:rFonts w:ascii="Times New Roman" w:hAnsi="Times New Roman"/>
          <w:i w:val="1"/>
          <w:iCs w:val="1"/>
          <w:sz w:val="24"/>
          <w:szCs w:val="24"/>
          <w:rtl w:val="0"/>
          <w:lang w:val="en-US"/>
        </w:rPr>
        <w:t>is in satisfaction of the debt, that creditor may well be barred from collecting any additional money.</w:t>
      </w:r>
    </w:p>
    <w:p>
      <w:pPr>
        <w:pStyle w:val="Body"/>
        <w:spacing w:line="480" w:lineRule="auto"/>
        <w:jc w:val="center"/>
        <w:rPr>
          <w:rFonts w:ascii="Times New Roman" w:cs="Times New Roman" w:hAnsi="Times New Roman" w:eastAsia="Times New Roman"/>
          <w:b w:val="1"/>
          <w:bCs w:val="1"/>
          <w:sz w:val="24"/>
          <w:szCs w:val="24"/>
        </w:rPr>
      </w:pPr>
      <w:r>
        <w:rPr>
          <w:rFonts w:ascii="Times New Roman" w:hAnsi="Times New Roman"/>
          <w:b w:val="1"/>
          <w:bCs w:val="1"/>
          <w:sz w:val="24"/>
          <w:szCs w:val="24"/>
          <w:rtl w:val="0"/>
        </w:rPr>
        <w:t>Isbell v. Friedman, U.S App. No. 11-2113. (4</w:t>
      </w:r>
      <w:r>
        <w:rPr>
          <w:rFonts w:ascii="Times New Roman" w:hAnsi="Times New Roman"/>
          <w:b w:val="1"/>
          <w:bCs w:val="1"/>
          <w:sz w:val="24"/>
          <w:szCs w:val="24"/>
          <w:vertAlign w:val="superscript"/>
          <w:rtl w:val="0"/>
          <w:lang w:val="en-US"/>
        </w:rPr>
        <w:t>th</w:t>
      </w:r>
      <w:r>
        <w:rPr>
          <w:rFonts w:ascii="Times New Roman" w:hAnsi="Times New Roman"/>
          <w:b w:val="1"/>
          <w:bCs w:val="1"/>
          <w:sz w:val="24"/>
          <w:szCs w:val="24"/>
          <w:rtl w:val="0"/>
        </w:rPr>
        <w:t xml:space="preserve"> Cor. 2012)</w:t>
      </w:r>
    </w:p>
    <w:p>
      <w:pPr>
        <w:pStyle w:val="Body"/>
        <w:spacing w:line="480" w:lineRule="auto"/>
        <w:ind w:firstLine="720"/>
        <w:jc w:val="both"/>
        <w:rPr>
          <w:rFonts w:ascii="Times New Roman" w:cs="Times New Roman" w:hAnsi="Times New Roman" w:eastAsia="Times New Roman"/>
          <w:sz w:val="24"/>
          <w:szCs w:val="24"/>
        </w:rPr>
      </w:pPr>
      <w:r>
        <w:rPr>
          <w:rFonts w:ascii="Times New Roman" w:hAnsi="Times New Roman"/>
          <w:sz w:val="24"/>
          <w:szCs w:val="24"/>
          <w:rtl w:val="0"/>
          <w:lang w:val="en-US"/>
        </w:rPr>
        <w:t xml:space="preserve">The facts presented for this case indicated that potential expert witnesses made an oral agreement with a plaintiff's attorney to testify for </w:t>
      </w:r>
      <w:r>
        <w:rPr>
          <w:rFonts w:ascii="Times New Roman" w:hAnsi="Times New Roman"/>
          <w:sz w:val="24"/>
          <w:szCs w:val="24"/>
          <w:rtl w:val="0"/>
          <w:lang w:val="en-US"/>
        </w:rPr>
        <w:t>$</w:t>
      </w:r>
      <w:r>
        <w:rPr>
          <w:rFonts w:ascii="Times New Roman" w:hAnsi="Times New Roman"/>
          <w:sz w:val="24"/>
          <w:szCs w:val="24"/>
          <w:rtl w:val="0"/>
          <w:lang w:val="en-US"/>
        </w:rPr>
        <w:t xml:space="preserve">60000. However, after receiving the amount in full, the witnesses said they would not testify in Court or pay back the money. According to them, the plaintiff could not sue them because they had an oral agreement with the attorney and not the plaintiff. The plaintiff, however, claimed that being a third-party beneficiary, he could sue the witnesses. </w:t>
      </w:r>
    </w:p>
    <w:p>
      <w:pPr>
        <w:pStyle w:val="Body"/>
        <w:spacing w:line="480" w:lineRule="auto"/>
        <w:jc w:val="center"/>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Court decision</w:t>
      </w:r>
    </w:p>
    <w:p>
      <w:pPr>
        <w:pStyle w:val="Body"/>
        <w:spacing w:line="480" w:lineRule="auto"/>
        <w:ind w:firstLine="720"/>
        <w:jc w:val="both"/>
        <w:rPr>
          <w:rFonts w:ascii="Times New Roman" w:cs="Times New Roman" w:hAnsi="Times New Roman" w:eastAsia="Times New Roman"/>
          <w:sz w:val="24"/>
          <w:szCs w:val="24"/>
        </w:rPr>
      </w:pPr>
      <w:r>
        <w:rPr>
          <w:rFonts w:ascii="Times New Roman" w:hAnsi="Times New Roman"/>
          <w:sz w:val="24"/>
          <w:szCs w:val="24"/>
          <w:rtl w:val="0"/>
          <w:lang w:val="en-US"/>
        </w:rPr>
        <w:t>Even though the expert witnesses had quit without any warning, the Court made a surprise ruling indicating that there existed no enforceable contract between the expert witnesses and the intended third-party beneficiary of the expert</w:t>
      </w:r>
      <w:r>
        <w:rPr>
          <w:rFonts w:ascii="Times New Roman" w:hAnsi="Times New Roman" w:hint="default"/>
          <w:sz w:val="24"/>
          <w:szCs w:val="24"/>
          <w:rtl w:val="0"/>
          <w:lang w:val="en-US"/>
        </w:rPr>
        <w:t>’</w:t>
      </w:r>
      <w:r>
        <w:rPr>
          <w:rFonts w:ascii="Times New Roman" w:hAnsi="Times New Roman"/>
          <w:sz w:val="24"/>
          <w:szCs w:val="24"/>
          <w:rtl w:val="0"/>
          <w:lang w:val="en-US"/>
        </w:rPr>
        <w:t>s witnesses</w:t>
      </w:r>
      <w:r>
        <w:rPr>
          <w:rFonts w:ascii="Times New Roman" w:hAnsi="Times New Roman" w:hint="default"/>
          <w:sz w:val="24"/>
          <w:szCs w:val="24"/>
          <w:rtl w:val="0"/>
          <w:lang w:val="en-US"/>
        </w:rPr>
        <w:t xml:space="preserve">’ </w:t>
      </w:r>
      <w:r>
        <w:rPr>
          <w:rFonts w:ascii="Times New Roman" w:hAnsi="Times New Roman"/>
          <w:sz w:val="24"/>
          <w:szCs w:val="24"/>
          <w:rtl w:val="0"/>
          <w:lang w:val="en-US"/>
        </w:rPr>
        <w:t xml:space="preserve">services. This technically meant that the expert witnesses owed the plaintiff nothing and thus could leave the contract without notice. This judgment violated the longstanding principles that state that </w:t>
      </w:r>
      <w:r>
        <w:rPr>
          <w:rFonts w:ascii="Times New Roman" w:hAnsi="Times New Roman"/>
          <w:i w:val="1"/>
          <w:iCs w:val="1"/>
          <w:sz w:val="24"/>
          <w:szCs w:val="24"/>
          <w:rtl w:val="0"/>
          <w:lang w:val="en-US"/>
        </w:rPr>
        <w:t>when a person makes a promise to another for the benefit of a third person, that third person may maintain an action upon that promise.</w:t>
      </w:r>
      <w:r>
        <w:rPr>
          <w:rFonts w:ascii="Times New Roman" w:hAnsi="Times New Roman"/>
          <w:sz w:val="24"/>
          <w:szCs w:val="24"/>
          <w:rtl w:val="0"/>
          <w:lang w:val="en-US"/>
        </w:rPr>
        <w:t xml:space="preserve"> The plaintiff indicated three causes of action in the amended complaint; breach of contract, negligent misrepresentation, and intentional misrepresentation. </w:t>
      </w:r>
    </w:p>
    <w:p>
      <w:pPr>
        <w:pStyle w:val="Body"/>
        <w:spacing w:line="480" w:lineRule="auto"/>
        <w:ind w:firstLine="720"/>
        <w:jc w:val="both"/>
        <w:rPr>
          <w:rFonts w:ascii="Times New Roman" w:cs="Times New Roman" w:hAnsi="Times New Roman" w:eastAsia="Times New Roman"/>
          <w:sz w:val="24"/>
          <w:szCs w:val="24"/>
        </w:rPr>
      </w:pPr>
    </w:p>
    <w:p>
      <w:pPr>
        <w:pStyle w:val="Body"/>
        <w:spacing w:line="480" w:lineRule="auto"/>
        <w:ind w:firstLine="720"/>
        <w:jc w:val="both"/>
        <w:rPr>
          <w:rFonts w:ascii="Times New Roman" w:cs="Times New Roman" w:hAnsi="Times New Roman" w:eastAsia="Times New Roman"/>
          <w:i w:val="1"/>
          <w:iCs w:val="1"/>
          <w:sz w:val="24"/>
          <w:szCs w:val="24"/>
        </w:rPr>
      </w:pPr>
      <w:r>
        <w:rPr>
          <w:rFonts w:ascii="Times New Roman" w:hAnsi="Times New Roman"/>
          <w:sz w:val="24"/>
          <w:szCs w:val="24"/>
          <w:rtl w:val="0"/>
          <w:lang w:val="en-US"/>
        </w:rPr>
        <w:t xml:space="preserve">The Court, however, observed that the association between Isbell and the expert witlessness failed to meet the threshold of a contract. The definition of a contract under the law states that; </w:t>
      </w:r>
      <w:r>
        <w:rPr>
          <w:rFonts w:ascii="Times New Roman" w:hAnsi="Times New Roman"/>
          <w:i w:val="1"/>
          <w:iCs w:val="1"/>
          <w:sz w:val="24"/>
          <w:szCs w:val="24"/>
          <w:rtl w:val="0"/>
          <w:lang w:val="en-US"/>
        </w:rPr>
        <w:t>a contract is created when there is an offer by one person and an acceptance by the other</w:t>
      </w:r>
      <w:r>
        <w:rPr>
          <w:rFonts w:ascii="Times New Roman" w:hAnsi="Times New Roman"/>
          <w:sz w:val="24"/>
          <w:szCs w:val="24"/>
          <w:rtl w:val="0"/>
        </w:rPr>
        <w:t xml:space="preserve"> (</w:t>
      </w:r>
      <w:r>
        <w:rPr>
          <w:rFonts w:ascii="Times New Roman" w:hAnsi="Times New Roman"/>
          <w:i w:val="1"/>
          <w:iCs w:val="1"/>
          <w:sz w:val="24"/>
          <w:szCs w:val="24"/>
          <w:rtl w:val="0"/>
        </w:rPr>
        <w:t>Cochran v. Norkunas, 919 A.2d 700, 713</w:t>
      </w:r>
      <w:r>
        <w:rPr>
          <w:rFonts w:ascii="Times New Roman" w:hAnsi="Times New Roman"/>
          <w:sz w:val="24"/>
          <w:szCs w:val="24"/>
          <w:rtl w:val="0"/>
        </w:rPr>
        <w:t xml:space="preserve"> </w:t>
      </w:r>
      <w:r>
        <w:rPr>
          <w:rFonts w:ascii="Times New Roman" w:hAnsi="Times New Roman"/>
          <w:i w:val="1"/>
          <w:iCs w:val="1"/>
          <w:sz w:val="24"/>
          <w:szCs w:val="24"/>
          <w:rtl w:val="0"/>
        </w:rPr>
        <w:t>(2007).</w:t>
      </w:r>
      <w:r>
        <w:rPr>
          <w:rFonts w:ascii="Times New Roman" w:hAnsi="Times New Roman"/>
          <w:sz w:val="24"/>
          <w:szCs w:val="24"/>
          <w:rtl w:val="0"/>
          <w:lang w:val="en-US"/>
        </w:rPr>
        <w:t xml:space="preserve"> The acceptance of an offer is thus considered an essential component of a contract indicating that the parties had an actual meeting of their minds regarding contract formation. The rationale for this surprise decision was only based on the fact that the association between the plaintiff and Friedmann could not be considered a contract. Friedmann only entered into a legal contract with the attorney, an agreement that ended soon after they were told to step down and payments stopped. In essence, the Court thus failed to locate any valid and enforceable contract between the plaintiff and Friedmann (See </w:t>
      </w:r>
      <w:r>
        <w:rPr>
          <w:rFonts w:ascii="Times New Roman" w:hAnsi="Times New Roman"/>
          <w:i w:val="1"/>
          <w:iCs w:val="1"/>
          <w:sz w:val="24"/>
          <w:szCs w:val="24"/>
          <w:rtl w:val="0"/>
          <w:lang w:val="en-US"/>
        </w:rPr>
        <w:t xml:space="preserve">Cree v. Lilly, 729 A. 2d 385, 399 (1999). </w:t>
      </w:r>
    </w:p>
    <w:p>
      <w:pPr>
        <w:pStyle w:val="Body"/>
        <w:spacing w:line="480" w:lineRule="auto"/>
        <w:ind w:firstLine="720"/>
        <w:jc w:val="both"/>
        <w:rPr>
          <w:rFonts w:ascii="Times New Roman" w:cs="Times New Roman" w:hAnsi="Times New Roman" w:eastAsia="Times New Roman"/>
          <w:i w:val="1"/>
          <w:iCs w:val="1"/>
          <w:sz w:val="24"/>
          <w:szCs w:val="24"/>
        </w:rPr>
      </w:pPr>
    </w:p>
    <w:p>
      <w:pPr>
        <w:pStyle w:val="Body"/>
        <w:spacing w:line="480" w:lineRule="auto"/>
        <w:jc w:val="both"/>
        <w:rPr>
          <w:rFonts w:ascii="Times New Roman" w:cs="Times New Roman" w:hAnsi="Times New Roman" w:eastAsia="Times New Roman"/>
          <w:sz w:val="24"/>
          <w:szCs w:val="24"/>
        </w:rPr>
      </w:pPr>
    </w:p>
    <w:p>
      <w:pPr>
        <w:pStyle w:val="Body"/>
        <w:spacing w:line="480" w:lineRule="auto"/>
        <w:jc w:val="both"/>
        <w:rPr>
          <w:rFonts w:ascii="Times New Roman" w:cs="Times New Roman" w:hAnsi="Times New Roman" w:eastAsia="Times New Roman"/>
          <w:sz w:val="24"/>
          <w:szCs w:val="24"/>
        </w:rPr>
      </w:pPr>
    </w:p>
    <w:p>
      <w:pPr>
        <w:pStyle w:val="Body"/>
        <w:spacing w:line="480" w:lineRule="auto"/>
        <w:jc w:val="both"/>
        <w:rPr>
          <w:rFonts w:ascii="Times New Roman" w:cs="Times New Roman" w:hAnsi="Times New Roman" w:eastAsia="Times New Roman"/>
          <w:sz w:val="24"/>
          <w:szCs w:val="24"/>
        </w:rPr>
      </w:pPr>
    </w:p>
    <w:p>
      <w:pPr>
        <w:pStyle w:val="Body"/>
        <w:spacing w:line="480" w:lineRule="auto"/>
        <w:jc w:val="both"/>
        <w:rPr>
          <w:rFonts w:ascii="Times New Roman" w:cs="Times New Roman" w:hAnsi="Times New Roman" w:eastAsia="Times New Roman"/>
          <w:sz w:val="24"/>
          <w:szCs w:val="24"/>
        </w:rPr>
      </w:pPr>
    </w:p>
    <w:p>
      <w:pPr>
        <w:pStyle w:val="Body"/>
        <w:spacing w:line="480" w:lineRule="auto"/>
        <w:jc w:val="center"/>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fr-FR"/>
        </w:rPr>
        <w:t>References</w:t>
      </w:r>
    </w:p>
    <w:p>
      <w:pPr>
        <w:pStyle w:val="Body"/>
        <w:spacing w:line="480" w:lineRule="auto"/>
        <w:ind w:left="720" w:hanging="720"/>
        <w:jc w:val="both"/>
        <w:rPr>
          <w:rFonts w:ascii="Times New Roman" w:cs="Times New Roman" w:hAnsi="Times New Roman" w:eastAsia="Times New Roman"/>
          <w:sz w:val="24"/>
          <w:szCs w:val="24"/>
        </w:rPr>
      </w:pPr>
      <w:r>
        <w:rPr>
          <w:rFonts w:ascii="Times New Roman" w:hAnsi="Times New Roman"/>
          <w:sz w:val="24"/>
          <w:szCs w:val="24"/>
          <w:rtl w:val="0"/>
          <w:lang w:val="en-US"/>
        </w:rPr>
        <w:t xml:space="preserve">Appeals Court Affirms Exception to Third Party Beneficiary Case Law for Expert Witnesses | Law Firm Newswire. (2021). Retrieved 24 September 2021, from </w:t>
      </w:r>
      <w:r>
        <w:rPr>
          <w:rStyle w:val="Hyperlink.0"/>
        </w:rPr>
        <w:fldChar w:fldCharType="begin" w:fldLock="0"/>
      </w:r>
      <w:r>
        <w:rPr>
          <w:rStyle w:val="Hyperlink.0"/>
        </w:rPr>
        <w:instrText xml:space="preserve"> HYPERLINK "https://www.lawfirmnewswire.com/2012/03/appeals-court-affirms-exception-to-third-party-beneficiary-case-law-for-expert-witnesses/"</w:instrText>
      </w:r>
      <w:r>
        <w:rPr>
          <w:rStyle w:val="Hyperlink.0"/>
        </w:rPr>
        <w:fldChar w:fldCharType="separate" w:fldLock="0"/>
      </w:r>
      <w:r>
        <w:rPr>
          <w:rStyle w:val="Hyperlink.0"/>
          <w:rtl w:val="0"/>
          <w:lang w:val="en-US"/>
        </w:rPr>
        <w:t>https://www.lawfirmnewswire.com/2012/03/appeals-court-affirms-exception-to-third-party-beneficiary-case-law-for-expert-witnesses/</w:t>
      </w:r>
      <w:r>
        <w:rPr/>
        <w:fldChar w:fldCharType="end" w:fldLock="0"/>
      </w:r>
    </w:p>
    <w:p>
      <w:pPr>
        <w:pStyle w:val="Body"/>
        <w:spacing w:line="480" w:lineRule="auto"/>
        <w:ind w:left="720" w:hanging="720"/>
        <w:jc w:val="both"/>
        <w:rPr>
          <w:rFonts w:ascii="Times New Roman" w:cs="Times New Roman" w:hAnsi="Times New Roman" w:eastAsia="Times New Roman"/>
          <w:sz w:val="24"/>
          <w:szCs w:val="24"/>
        </w:rPr>
      </w:pPr>
      <w:r>
        <w:rPr>
          <w:rFonts w:ascii="Times New Roman" w:hAnsi="Times New Roman"/>
          <w:sz w:val="24"/>
          <w:szCs w:val="24"/>
          <w:rtl w:val="0"/>
          <w:lang w:val="en-US"/>
        </w:rPr>
        <w:t xml:space="preserve">Pendergrass v. Ingram, No. E2015-01990-COA-R3-CV | Casetext Search + Citator. (2021). Retrieved 24 September 2021, from </w:t>
      </w:r>
      <w:r>
        <w:rPr>
          <w:rStyle w:val="Hyperlink.0"/>
        </w:rPr>
        <w:fldChar w:fldCharType="begin" w:fldLock="0"/>
      </w:r>
      <w:r>
        <w:rPr>
          <w:rStyle w:val="Hyperlink.0"/>
        </w:rPr>
        <w:instrText xml:space="preserve"> HYPERLINK "https://casetext.com/case/pendergrass-v-ingram?__cf_chl_jschl_tk__=pmd_JOiBK9jNLF9fOVkjPmognugTV7U4PcXy3cR3EpZSFHQ-1632502439-0-gqNtZGzNAiWjcnBszQgl"</w:instrText>
      </w:r>
      <w:r>
        <w:rPr>
          <w:rStyle w:val="Hyperlink.0"/>
        </w:rPr>
        <w:fldChar w:fldCharType="separate" w:fldLock="0"/>
      </w:r>
      <w:r>
        <w:rPr>
          <w:rStyle w:val="Hyperlink.0"/>
          <w:rtl w:val="0"/>
          <w:lang w:val="en-US"/>
        </w:rPr>
        <w:t>https://casetext.com/case/pendergrass-v-ingram?__cf_chl_jschl_tk__=pmd_JOiBK9jNLF9fOVkjPmognugTV7U4PcXy3cR3EpZSFHQ-1632502439-0-gqNtZGzNAiWjcnBszQgl</w:t>
      </w:r>
      <w:r>
        <w:rPr/>
        <w:fldChar w:fldCharType="end" w:fldLock="0"/>
      </w:r>
    </w:p>
    <w:p>
      <w:pPr>
        <w:pStyle w:val="Body"/>
        <w:spacing w:line="480" w:lineRule="auto"/>
        <w:ind w:left="720" w:hanging="720"/>
        <w:jc w:val="both"/>
      </w:pPr>
      <w:r>
        <w:rPr>
          <w:rFonts w:ascii="Times New Roman" w:hAnsi="Times New Roman"/>
          <w:sz w:val="24"/>
          <w:szCs w:val="24"/>
          <w:rtl w:val="0"/>
          <w:lang w:val="en-US"/>
        </w:rPr>
        <w:t xml:space="preserve">U.S. Court for the District of Maryland. (2011). </w:t>
      </w:r>
      <w:r>
        <w:rPr>
          <w:rFonts w:ascii="Times New Roman" w:hAnsi="Times New Roman"/>
          <w:i w:val="1"/>
          <w:iCs w:val="1"/>
          <w:sz w:val="24"/>
          <w:szCs w:val="24"/>
          <w:rtl w:val="0"/>
        </w:rPr>
        <w:t>Isbell v. Friedmann et al.</w:t>
      </w:r>
      <w:r>
        <w:rPr>
          <w:rFonts w:ascii="Times New Roman" w:hAnsi="Times New Roman"/>
          <w:sz w:val="24"/>
          <w:szCs w:val="24"/>
          <w:rtl w:val="0"/>
          <w:lang w:val="en-US"/>
        </w:rPr>
        <w:t xml:space="preserve"> Retrieved from: </w:t>
      </w:r>
      <w:r>
        <w:rPr>
          <w:rStyle w:val="Hyperlink.0"/>
        </w:rPr>
        <w:fldChar w:fldCharType="begin" w:fldLock="0"/>
      </w:r>
      <w:r>
        <w:rPr>
          <w:rStyle w:val="Hyperlink.0"/>
        </w:rPr>
        <w:instrText xml:space="preserve"> HYPERLINK "https://judicialcaselaw.com/courts/mdd/cases/8_11-cv-01152-AW/09313888242?page=11"</w:instrText>
      </w:r>
      <w:r>
        <w:rPr>
          <w:rStyle w:val="Hyperlink.0"/>
        </w:rPr>
        <w:fldChar w:fldCharType="separate" w:fldLock="0"/>
      </w:r>
      <w:r>
        <w:rPr>
          <w:rStyle w:val="Hyperlink.0"/>
          <w:rtl w:val="0"/>
          <w:lang w:val="en-US"/>
        </w:rPr>
        <w:t>https://judicialcaselaw.com/courts/mdd/cases/8_11-cv-01152-AW/09313888242?page=11</w:t>
      </w:r>
      <w:r>
        <w:rPr/>
        <w:fldChar w:fldCharType="end" w:fldLock="0"/>
      </w:r>
      <w:r>
        <w:rPr>
          <w:rFonts w:ascii="Times New Roman" w:cs="Times New Roman" w:hAnsi="Times New Roman" w:eastAsia="Times New Roman"/>
          <w:sz w:val="24"/>
          <w:szCs w:val="24"/>
        </w:rPr>
      </w:r>
    </w:p>
    <w:sectPr>
      <w:headerReference w:type="default" r:id="rId4"/>
      <w:footerReference w:type="default" r:id="rId5"/>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340"/>
        <w:tab w:val="clear" w:pos="9360"/>
      </w:tabs>
      <w:jc w:val="right"/>
    </w:pPr>
    <w:r>
      <w:rPr>
        <w:rtl w:val="0"/>
        <w:lang w:val="en-US"/>
      </w:rPr>
      <w:t xml:space="preserve">Bates </w:t>
    </w:r>
    <w:r>
      <w:rPr>
        <w:rtl w:val="0"/>
      </w:rPr>
      <w:fldChar w:fldCharType="begin" w:fldLock="0"/>
    </w:r>
    <w:r>
      <w:rPr>
        <w:rtl w:val="0"/>
      </w:rPr>
      <w:instrText xml:space="preserve"> PAGE </w:instrText>
    </w:r>
    <w:r>
      <w:rPr>
        <w:rtl w:val="0"/>
      </w:rPr>
      <w:fldChar w:fldCharType="separate" w:fldLock="0"/>
    </w:r>
    <w:r>
      <w:rPr>
        <w:rtl w:val="0"/>
      </w:rPr>
    </w:r>
    <w:r>
      <w:rPr>
        <w:rtl w:val="0"/>
      </w:rPr>
      <w:fldChar w:fldCharType="end" w:fldLock="0"/>
    </w: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noFill/>
      </w14:textOutline>
      <w14:textFill>
        <w14:solidFill>
          <w14:srgbClr w14:val="000000"/>
        </w14:solidFill>
      </w14:textFill>
    </w:rPr>
  </w:style>
  <w:style w:type="character" w:styleId="Link">
    <w:name w:val="Link"/>
    <w:rPr>
      <w:outline w:val="0"/>
      <w:color w:val="0563c1"/>
      <w:u w:val="single" w:color="0563c1"/>
      <w14:textFill>
        <w14:solidFill>
          <w14:srgbClr w14:val="0563C1"/>
        </w14:solidFill>
      </w14:textFill>
    </w:rPr>
  </w:style>
  <w:style w:type="character" w:styleId="Hyperlink.0">
    <w:name w:val="Hyperlink.0"/>
    <w:basedOn w:val="Link"/>
    <w:next w:val="Hyperlink.0"/>
    <w:rPr>
      <w:rFonts w:ascii="Times New Roman" w:cs="Times New Roman" w:hAnsi="Times New Roman" w:eastAsia="Times New Roman"/>
      <w:sz w:val="24"/>
      <w:szCs w:val="24"/>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