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84D" w:rsidRPr="00F553EB" w:rsidRDefault="00B9684D" w:rsidP="00285F17">
      <w:pPr>
        <w:spacing w:line="480" w:lineRule="auto"/>
        <w:rPr>
          <w:b/>
        </w:rPr>
      </w:pPr>
      <w:bookmarkStart w:id="0" w:name="_GoBack"/>
      <w:bookmarkEnd w:id="0"/>
      <w:r w:rsidRPr="00F553EB">
        <w:rPr>
          <w:b/>
        </w:rPr>
        <w:t>B</w:t>
      </w:r>
      <w:r w:rsidR="00285F17" w:rsidRPr="00F553EB">
        <w:rPr>
          <w:b/>
        </w:rPr>
        <w:t>etty, Inc. v. PepsiCo, Inc.</w:t>
      </w:r>
    </w:p>
    <w:p w:rsidR="00B9684D" w:rsidRDefault="00B9684D" w:rsidP="00285F17">
      <w:pPr>
        <w:spacing w:line="480" w:lineRule="auto"/>
      </w:pPr>
      <w:r>
        <w:t xml:space="preserve">United States District Court </w:t>
      </w:r>
    </w:p>
    <w:p w:rsidR="00AB553D" w:rsidRDefault="00B9684D" w:rsidP="00285F17">
      <w:pPr>
        <w:spacing w:line="480" w:lineRule="auto"/>
      </w:pPr>
      <w:r>
        <w:t>Southern District of New York</w:t>
      </w:r>
    </w:p>
    <w:p w:rsidR="00AB553D" w:rsidRDefault="00AB553D" w:rsidP="00285F17">
      <w:pPr>
        <w:spacing w:line="480" w:lineRule="auto"/>
      </w:pPr>
      <w:r>
        <w:t>November 12, 2019</w:t>
      </w:r>
    </w:p>
    <w:p w:rsidR="00F553EB" w:rsidRDefault="00B9684D" w:rsidP="00285F17">
      <w:pPr>
        <w:spacing w:line="480" w:lineRule="auto"/>
      </w:pPr>
      <w:r>
        <w:t>16 CV 4215</w:t>
      </w:r>
      <w:r w:rsidR="00285F17">
        <w:t xml:space="preserve"> </w:t>
      </w:r>
      <w:r>
        <w:t>(VB)</w:t>
      </w:r>
      <w:r w:rsidR="00285F17">
        <w:t xml:space="preserve">   </w:t>
      </w:r>
    </w:p>
    <w:p w:rsidR="00285F17" w:rsidRDefault="00285F17" w:rsidP="00285F17">
      <w:pPr>
        <w:spacing w:line="480" w:lineRule="auto"/>
      </w:pPr>
      <w:r w:rsidRPr="00CA15ED">
        <w:rPr>
          <w:b/>
        </w:rPr>
        <w:t>Facts</w:t>
      </w:r>
      <w:r w:rsidR="00C60086" w:rsidRPr="00CA15ED">
        <w:rPr>
          <w:b/>
        </w:rPr>
        <w:t>:</w:t>
      </w:r>
      <w:r w:rsidR="00C60086">
        <w:t xml:space="preserve"> The advertising agency Betty, Inc., sued PepsiCo, Inc., for breach of contract and infringement of copyrights on the claim that PepsiCo had stolen ideas from an ad concept that Betty had presented to them but got rejected to generate a halftime commercial for its 2016 Super Bowl.</w:t>
      </w:r>
      <w:r w:rsidR="000451B4">
        <w:t xml:space="preserve"> In 2014, an advertising and marketing subsidiary of PepsiCo entered into a three-year contract with Betty to execute marketing services on a non-exclusive basis. The terms of the contract allowed PepsiCo to retain sole discretion in deciding whether or not to transact with Betty.</w:t>
      </w:r>
      <w:r w:rsidR="00C345C3">
        <w:t xml:space="preserve"> In November 2015, PepsiCo probed several advertising agencies, including Betty, Inc., to prepare for a commercial that would air before the halftime show of the 2016 Super Bowl show. Betty pitched for a concept titled “All Kinds / Living Jukebox” that was allegedly copied by PepsiCo in their halftime commercial despite being rejected.</w:t>
      </w:r>
      <w:r w:rsidR="004A38CE">
        <w:t xml:space="preserve"> The concept was set in a warehouse and as the camera moved around the warehouse, the music genre, “vibe” and “fashion” of the room changed. That same day, another advertising agency, The Marketing Arm (TMA) presented another ad concept titled “The Joy of Dance.” This concept featured </w:t>
      </w:r>
      <w:r w:rsidR="00A81B2D">
        <w:t>a character that went around the various rooms commemorating the decades from the 1950s to present and as the rooms changed, the wardrobe and the dance of the featured character changed as well.</w:t>
      </w:r>
      <w:r w:rsidR="00D63BEA">
        <w:t xml:space="preserve"> PepsiCo chose the TMA’s concept for its halftime commercial. After it was aired in February 7, 2016, Betty applied for copyright of the “All Kinds/Living Jukebox” concept and then filed a lawsuit.</w:t>
      </w:r>
    </w:p>
    <w:p w:rsidR="00285F17" w:rsidRDefault="00752F1F" w:rsidP="00285F17">
      <w:pPr>
        <w:spacing w:line="480" w:lineRule="auto"/>
      </w:pPr>
      <w:r>
        <w:rPr>
          <w:b/>
        </w:rPr>
        <w:lastRenderedPageBreak/>
        <w:t>Issue:</w:t>
      </w:r>
      <w:r w:rsidR="001D7982">
        <w:t xml:space="preserve"> Was the halftime commercial substantially similar to the copyrighted concept of Betty’s pitch in the perspective of pace, characters, themes, setting, feel, and overall concept?</w:t>
      </w:r>
    </w:p>
    <w:p w:rsidR="00285F17" w:rsidRDefault="00FF04D3" w:rsidP="00285F17">
      <w:pPr>
        <w:spacing w:line="480" w:lineRule="auto"/>
      </w:pPr>
      <w:r w:rsidRPr="004F37BD">
        <w:rPr>
          <w:b/>
        </w:rPr>
        <w:t>Decision</w:t>
      </w:r>
      <w:r>
        <w:t xml:space="preserve">: No, the court indicated that the Betty’s concept was not substantially similar to the halftime commercial of PepsiCo. </w:t>
      </w:r>
      <w:r w:rsidR="009E1094">
        <w:t>Betty’s presentation was darker than the one of TMA and was further darkened by the music genres that Betty chose.</w:t>
      </w:r>
      <w:r w:rsidR="0062368A">
        <w:t xml:space="preserve"> The character and settings were also significantly different and any similarities that may have been seen in the two adverts arose from non-</w:t>
      </w:r>
      <w:r w:rsidR="00D872DB">
        <w:t>protected elements</w:t>
      </w:r>
      <w:r w:rsidR="0062368A">
        <w:t>.</w:t>
      </w:r>
      <w:r w:rsidR="00E36E6E">
        <w:t xml:space="preserve"> Consequently, the court dismissed the copyright infringement </w:t>
      </w:r>
      <w:r w:rsidR="00F553BD">
        <w:t>claim against</w:t>
      </w:r>
      <w:r w:rsidR="00E36E6E">
        <w:t xml:space="preserve"> PepsiCo.</w:t>
      </w:r>
      <w:r w:rsidR="00DA52E6">
        <w:t xml:space="preserve"> The court also found that there was no breach of contract as Betty had claimed.</w:t>
      </w:r>
    </w:p>
    <w:p w:rsidR="0091282C" w:rsidRDefault="00FF04D3" w:rsidP="00285F17">
      <w:pPr>
        <w:spacing w:line="480" w:lineRule="auto"/>
      </w:pPr>
      <w:r w:rsidRPr="00DA6AE5">
        <w:rPr>
          <w:b/>
        </w:rPr>
        <w:t>Reasoning</w:t>
      </w:r>
      <w:r w:rsidR="00AB553D" w:rsidRPr="00DA6AE5">
        <w:rPr>
          <w:b/>
        </w:rPr>
        <w:t>:</w:t>
      </w:r>
      <w:r w:rsidR="003B4D95">
        <w:t xml:space="preserve"> </w:t>
      </w:r>
      <w:r w:rsidR="000A27BD">
        <w:t>Betty had indicated that its presented depicted a Type II preliminary agreement that was eventually breached by PepsiCo.</w:t>
      </w:r>
      <w:r w:rsidR="00D21E4D">
        <w:t xml:space="preserve"> Under the law of New York, when ascertaining that a Type II agreement exist, the court is required to </w:t>
      </w:r>
      <w:r w:rsidR="0053259D">
        <w:t>consider five</w:t>
      </w:r>
      <w:r w:rsidR="00D21E4D">
        <w:t xml:space="preserve"> factors: existence of open terms, context of negotiations, whether the intent to be bound is expressed by the language of the contract, partial performance, and the need to put the agreement in final form as highlighted by the customary terms of such transactions.</w:t>
      </w:r>
      <w:r w:rsidR="008260A0">
        <w:t xml:space="preserve"> Applying these factors to the case, the jury fund that each of them weighed against Betty.</w:t>
      </w:r>
      <w:r w:rsidR="00F067E4">
        <w:t xml:space="preserve"> </w:t>
      </w:r>
      <w:r w:rsidR="00514CD7">
        <w:t>There was several open terms in the 2014 contract such as deliverables, engagement date, and fee that were to be agreed upon if PepsiCo chose to execute the agreement.</w:t>
      </w:r>
      <w:r w:rsidR="006D3FEC">
        <w:t xml:space="preserve"> The context of the negotiations also went against Betty as 14 other </w:t>
      </w:r>
      <w:r w:rsidR="001504E6">
        <w:t>advertising</w:t>
      </w:r>
      <w:r w:rsidR="006D3FEC">
        <w:t xml:space="preserve"> firms had pitched their concepts to PepsiCo.</w:t>
      </w:r>
      <w:r w:rsidR="00474581">
        <w:t xml:space="preserve"> The court also found no intent to be bound as there was no evidence in the 2014 agreement.</w:t>
      </w:r>
      <w:r w:rsidR="00AB2104">
        <w:t xml:space="preserve"> In addition, Betty did not partially perform and given that </w:t>
      </w:r>
      <w:r w:rsidR="00587A4B">
        <w:t>Betty</w:t>
      </w:r>
      <w:r w:rsidR="00AB2104">
        <w:t xml:space="preserve"> had transacted with PepsiCo previously, the court assumed that Betty was aware that the final agreement would not be a pitch but rather a scope of work was not provided in Betty’s “All Kinds/Living Jukebox” concept.</w:t>
      </w:r>
      <w:r w:rsidR="00EB212F">
        <w:t xml:space="preserve"> Therefore, the court ruled that there was no Type II preliminary agreement ad dismissed to claim of breach of contract against PepsiCo.</w:t>
      </w:r>
    </w:p>
    <w:sectPr w:rsidR="0091282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BC1" w:rsidRDefault="00A74BC1" w:rsidP="00407DF9">
      <w:pPr>
        <w:spacing w:after="0" w:line="240" w:lineRule="auto"/>
      </w:pPr>
      <w:r>
        <w:separator/>
      </w:r>
    </w:p>
  </w:endnote>
  <w:endnote w:type="continuationSeparator" w:id="0">
    <w:p w:rsidR="00A74BC1" w:rsidRDefault="00A74BC1" w:rsidP="00407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BC1" w:rsidRDefault="00A74BC1" w:rsidP="00407DF9">
      <w:pPr>
        <w:spacing w:after="0" w:line="240" w:lineRule="auto"/>
      </w:pPr>
      <w:r>
        <w:separator/>
      </w:r>
    </w:p>
  </w:footnote>
  <w:footnote w:type="continuationSeparator" w:id="0">
    <w:p w:rsidR="00A74BC1" w:rsidRDefault="00A74BC1" w:rsidP="00407D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9308685"/>
      <w:docPartObj>
        <w:docPartGallery w:val="Page Numbers (Top of Page)"/>
        <w:docPartUnique/>
      </w:docPartObj>
    </w:sdtPr>
    <w:sdtEndPr>
      <w:rPr>
        <w:noProof/>
      </w:rPr>
    </w:sdtEndPr>
    <w:sdtContent>
      <w:p w:rsidR="00407DF9" w:rsidRDefault="00407DF9">
        <w:pPr>
          <w:pStyle w:val="Header"/>
          <w:jc w:val="right"/>
        </w:pPr>
        <w:r>
          <w:fldChar w:fldCharType="begin"/>
        </w:r>
        <w:r>
          <w:instrText xml:space="preserve"> PAGE   \* MERGEFORMAT </w:instrText>
        </w:r>
        <w:r>
          <w:fldChar w:fldCharType="separate"/>
        </w:r>
        <w:r w:rsidR="002E6D1A">
          <w:rPr>
            <w:noProof/>
          </w:rPr>
          <w:t>2</w:t>
        </w:r>
        <w:r>
          <w:rPr>
            <w:noProof/>
          </w:rPr>
          <w:fldChar w:fldCharType="end"/>
        </w:r>
      </w:p>
    </w:sdtContent>
  </w:sdt>
  <w:p w:rsidR="00407DF9" w:rsidRDefault="00407D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SysDQ1MDCzMDM2NTZW0lEKTi0uzszPAykwrAUArpwe4SwAAAA="/>
  </w:docVars>
  <w:rsids>
    <w:rsidRoot w:val="00863758"/>
    <w:rsid w:val="000451B4"/>
    <w:rsid w:val="000A27BD"/>
    <w:rsid w:val="001504E6"/>
    <w:rsid w:val="001945D8"/>
    <w:rsid w:val="001B12D0"/>
    <w:rsid w:val="001D7982"/>
    <w:rsid w:val="00260E70"/>
    <w:rsid w:val="00285F17"/>
    <w:rsid w:val="002E6D1A"/>
    <w:rsid w:val="003B4D95"/>
    <w:rsid w:val="003B53CD"/>
    <w:rsid w:val="003D6A5D"/>
    <w:rsid w:val="00407DF9"/>
    <w:rsid w:val="00425A2E"/>
    <w:rsid w:val="00457749"/>
    <w:rsid w:val="00474581"/>
    <w:rsid w:val="004A215F"/>
    <w:rsid w:val="004A38CE"/>
    <w:rsid w:val="004F37BD"/>
    <w:rsid w:val="00514CD7"/>
    <w:rsid w:val="0053259D"/>
    <w:rsid w:val="005350B8"/>
    <w:rsid w:val="005769E0"/>
    <w:rsid w:val="00587A4B"/>
    <w:rsid w:val="005F4023"/>
    <w:rsid w:val="0062368A"/>
    <w:rsid w:val="006D3FEC"/>
    <w:rsid w:val="00752F1F"/>
    <w:rsid w:val="00793CA2"/>
    <w:rsid w:val="008260A0"/>
    <w:rsid w:val="00863758"/>
    <w:rsid w:val="008846D0"/>
    <w:rsid w:val="009053B9"/>
    <w:rsid w:val="0091282C"/>
    <w:rsid w:val="009A14FE"/>
    <w:rsid w:val="009E1094"/>
    <w:rsid w:val="00A74BC1"/>
    <w:rsid w:val="00A81B2D"/>
    <w:rsid w:val="00AB2104"/>
    <w:rsid w:val="00AB553D"/>
    <w:rsid w:val="00B9684D"/>
    <w:rsid w:val="00C345C3"/>
    <w:rsid w:val="00C60086"/>
    <w:rsid w:val="00CA15ED"/>
    <w:rsid w:val="00D21E4D"/>
    <w:rsid w:val="00D63BEA"/>
    <w:rsid w:val="00D872DB"/>
    <w:rsid w:val="00DA52E6"/>
    <w:rsid w:val="00DA6AE5"/>
    <w:rsid w:val="00E36E6E"/>
    <w:rsid w:val="00EB212F"/>
    <w:rsid w:val="00F067E4"/>
    <w:rsid w:val="00F553BD"/>
    <w:rsid w:val="00F553EB"/>
    <w:rsid w:val="00FF04D3"/>
    <w:rsid w:val="00FF7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3758"/>
    <w:rPr>
      <w:color w:val="0563C1" w:themeColor="hyperlink"/>
      <w:u w:val="single"/>
    </w:rPr>
  </w:style>
  <w:style w:type="paragraph" w:styleId="Header">
    <w:name w:val="header"/>
    <w:basedOn w:val="Normal"/>
    <w:link w:val="HeaderChar"/>
    <w:uiPriority w:val="99"/>
    <w:unhideWhenUsed/>
    <w:rsid w:val="00407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DF9"/>
  </w:style>
  <w:style w:type="paragraph" w:styleId="Footer">
    <w:name w:val="footer"/>
    <w:basedOn w:val="Normal"/>
    <w:link w:val="FooterChar"/>
    <w:uiPriority w:val="99"/>
    <w:unhideWhenUsed/>
    <w:rsid w:val="00407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D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3758"/>
    <w:rPr>
      <w:color w:val="0563C1" w:themeColor="hyperlink"/>
      <w:u w:val="single"/>
    </w:rPr>
  </w:style>
  <w:style w:type="paragraph" w:styleId="Header">
    <w:name w:val="header"/>
    <w:basedOn w:val="Normal"/>
    <w:link w:val="HeaderChar"/>
    <w:uiPriority w:val="99"/>
    <w:unhideWhenUsed/>
    <w:rsid w:val="00407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DF9"/>
  </w:style>
  <w:style w:type="paragraph" w:styleId="Footer">
    <w:name w:val="footer"/>
    <w:basedOn w:val="Normal"/>
    <w:link w:val="FooterChar"/>
    <w:uiPriority w:val="99"/>
    <w:unhideWhenUsed/>
    <w:rsid w:val="00407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D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2019-11-27T03:04:00Z</dcterms:created>
  <dcterms:modified xsi:type="dcterms:W3CDTF">2019-11-27T03:04:00Z</dcterms:modified>
</cp:coreProperties>
</file>