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Pr="007947A0" w:rsidRDefault="005E1E58">
      <w:pPr>
        <w:spacing w:line="480" w:lineRule="auto"/>
        <w:rPr>
          <w:rFonts w:ascii="Times New Roman" w:hAnsi="Times New Roman" w:cs="Times New Roman"/>
          <w:sz w:val="24"/>
          <w:szCs w:val="24"/>
        </w:rPr>
      </w:pPr>
    </w:p>
    <w:p w:rsidR="005E1E58" w:rsidRPr="007947A0" w:rsidRDefault="000D65CF" w:rsidP="007947A0">
      <w:pPr>
        <w:spacing w:after="0" w:line="480" w:lineRule="auto"/>
        <w:contextualSpacing/>
        <w:jc w:val="center"/>
        <w:rPr>
          <w:rFonts w:ascii="Times New Roman" w:hAnsi="Times New Roman" w:cs="Times New Roman"/>
          <w:sz w:val="24"/>
          <w:szCs w:val="24"/>
        </w:rPr>
      </w:pPr>
      <w:bookmarkStart w:id="0" w:name="_GoBack"/>
      <w:r w:rsidRPr="007947A0">
        <w:rPr>
          <w:rFonts w:ascii="Times New Roman" w:hAnsi="Times New Roman" w:cs="Times New Roman"/>
          <w:sz w:val="24"/>
          <w:szCs w:val="24"/>
        </w:rPr>
        <w:t>The Trial Hearing</w:t>
      </w:r>
    </w:p>
    <w:p w:rsidR="005E1E58" w:rsidRDefault="000D65CF" w:rsidP="007947A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 Name(s)</w:t>
      </w:r>
    </w:p>
    <w:p w:rsidR="005E1E58" w:rsidRDefault="000D65CF" w:rsidP="007947A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bookmarkEnd w:id="0"/>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7947A0" w:rsidRPr="007947A0" w:rsidRDefault="007947A0" w:rsidP="007947A0">
      <w:pPr>
        <w:spacing w:after="0" w:line="480" w:lineRule="auto"/>
        <w:jc w:val="center"/>
        <w:rPr>
          <w:rFonts w:ascii="Times New Roman" w:hAnsi="Times New Roman" w:cs="Times New Roman"/>
          <w:sz w:val="24"/>
          <w:szCs w:val="24"/>
        </w:rPr>
      </w:pPr>
      <w:r w:rsidRPr="007947A0">
        <w:rPr>
          <w:rFonts w:ascii="Times New Roman" w:hAnsi="Times New Roman" w:cs="Times New Roman"/>
          <w:sz w:val="24"/>
          <w:szCs w:val="24"/>
        </w:rPr>
        <w:t>The Trial Hearing</w:t>
      </w:r>
    </w:p>
    <w:p w:rsidR="005E1E58" w:rsidRPr="007947A0" w:rsidRDefault="000D65CF" w:rsidP="007947A0">
      <w:pPr>
        <w:spacing w:after="0" w:line="480" w:lineRule="auto"/>
        <w:rPr>
          <w:rFonts w:ascii="Times New Roman" w:hAnsi="Times New Roman" w:cs="Times New Roman"/>
          <w:b/>
          <w:bCs/>
          <w:sz w:val="24"/>
          <w:szCs w:val="24"/>
        </w:rPr>
      </w:pPr>
      <w:r w:rsidRPr="007947A0">
        <w:rPr>
          <w:rFonts w:ascii="Times New Roman" w:hAnsi="Times New Roman" w:cs="Times New Roman"/>
          <w:b/>
          <w:bCs/>
          <w:sz w:val="24"/>
          <w:szCs w:val="24"/>
        </w:rPr>
        <w:lastRenderedPageBreak/>
        <w:t>Introduction</w:t>
      </w:r>
    </w:p>
    <w:p w:rsidR="005E1E58" w:rsidRPr="007947A0" w:rsidRDefault="000D65CF" w:rsidP="007947A0">
      <w:pPr>
        <w:spacing w:after="0" w:line="480" w:lineRule="auto"/>
        <w:ind w:firstLine="720"/>
        <w:rPr>
          <w:rFonts w:ascii="Times New Roman" w:hAnsi="Times New Roman" w:cs="Times New Roman"/>
          <w:sz w:val="24"/>
          <w:szCs w:val="24"/>
        </w:rPr>
      </w:pPr>
      <w:r w:rsidRPr="007947A0">
        <w:rPr>
          <w:rFonts w:ascii="Times New Roman" w:hAnsi="Times New Roman" w:cs="Times New Roman"/>
          <w:sz w:val="24"/>
          <w:szCs w:val="24"/>
        </w:rPr>
        <w:t>This paper contains details of a case proceeding that was conducted in Greenville, South Carolina. The defendant is being charged with first-degree murder</w:t>
      </w:r>
      <w:r w:rsidRPr="007947A0">
        <w:rPr>
          <w:rFonts w:ascii="Times New Roman" w:hAnsi="Times New Roman" w:cs="Times New Roman"/>
          <w:sz w:val="24"/>
          <w:szCs w:val="24"/>
        </w:rPr>
        <w:t xml:space="preserve"> for the death if his lover. The accused is believed to have infected the partner with HIV/AIDS, thereby resulting to her death. In the state of South Carolina, it is a federal offense to engage in sexual intimacy with an individual without making it known</w:t>
      </w:r>
      <w:r w:rsidRPr="007947A0">
        <w:rPr>
          <w:rFonts w:ascii="Times New Roman" w:hAnsi="Times New Roman" w:cs="Times New Roman"/>
          <w:sz w:val="24"/>
          <w:szCs w:val="24"/>
        </w:rPr>
        <w:t xml:space="preserve"> to them that you are HIV-Positive. As for this case, it is believed that the accused slept with his partner and abstained from informing her that he was actually HIV-Positive. The death of his lover is directly linked to her infection with HIV/AIDS thereb</w:t>
      </w:r>
      <w:r w:rsidRPr="007947A0">
        <w:rPr>
          <w:rFonts w:ascii="Times New Roman" w:hAnsi="Times New Roman" w:cs="Times New Roman"/>
          <w:sz w:val="24"/>
          <w:szCs w:val="24"/>
        </w:rPr>
        <w:t>y making him guilty of first-degree murder.</w:t>
      </w:r>
    </w:p>
    <w:p w:rsidR="005E1E58" w:rsidRPr="007947A0" w:rsidRDefault="000D65CF" w:rsidP="007947A0">
      <w:pPr>
        <w:spacing w:after="0" w:line="480" w:lineRule="auto"/>
        <w:rPr>
          <w:rFonts w:ascii="Times New Roman" w:hAnsi="Times New Roman" w:cs="Times New Roman"/>
          <w:b/>
          <w:bCs/>
          <w:sz w:val="24"/>
          <w:szCs w:val="24"/>
        </w:rPr>
      </w:pPr>
      <w:r w:rsidRPr="007947A0">
        <w:rPr>
          <w:rFonts w:ascii="Times New Roman" w:hAnsi="Times New Roman" w:cs="Times New Roman"/>
          <w:b/>
          <w:bCs/>
          <w:sz w:val="24"/>
          <w:szCs w:val="24"/>
        </w:rPr>
        <w:t>Elements of First-Degree Murder</w:t>
      </w:r>
    </w:p>
    <w:p w:rsidR="005E1E58" w:rsidRPr="007947A0" w:rsidRDefault="000D65CF" w:rsidP="007947A0">
      <w:pPr>
        <w:spacing w:after="0" w:line="480" w:lineRule="auto"/>
        <w:ind w:firstLine="720"/>
        <w:rPr>
          <w:rFonts w:ascii="Times New Roman" w:hAnsi="Times New Roman" w:cs="Times New Roman"/>
          <w:sz w:val="24"/>
          <w:szCs w:val="24"/>
        </w:rPr>
      </w:pPr>
      <w:r w:rsidRPr="007947A0">
        <w:rPr>
          <w:rFonts w:ascii="Times New Roman" w:hAnsi="Times New Roman" w:cs="Times New Roman"/>
          <w:sz w:val="24"/>
          <w:szCs w:val="24"/>
        </w:rPr>
        <w:t>There</w:t>
      </w:r>
      <w:r w:rsidRPr="007947A0">
        <w:rPr>
          <w:rFonts w:ascii="Times New Roman" w:hAnsi="Times New Roman" w:cs="Times New Roman"/>
          <w:sz w:val="24"/>
          <w:szCs w:val="24"/>
        </w:rPr>
        <w:t xml:space="preserve"> are three elements that categorize a type of murder into first-degree. These include willfulness, deliberation and premeditation</w:t>
      </w:r>
      <w:r w:rsidRPr="007947A0">
        <w:rPr>
          <w:rFonts w:ascii="Times New Roman" w:hAnsi="Times New Roman" w:cs="Times New Roman"/>
          <w:sz w:val="24"/>
          <w:szCs w:val="24"/>
        </w:rPr>
        <w:t xml:space="preserve"> (Beal, 2019).</w:t>
      </w:r>
      <w:r w:rsidRPr="007947A0">
        <w:rPr>
          <w:rFonts w:ascii="Times New Roman" w:hAnsi="Times New Roman" w:cs="Times New Roman"/>
          <w:sz w:val="24"/>
          <w:szCs w:val="24"/>
        </w:rPr>
        <w:t xml:space="preserve"> Beginning with willfulness, the</w:t>
      </w:r>
      <w:r w:rsidRPr="007947A0">
        <w:rPr>
          <w:rFonts w:ascii="Times New Roman" w:hAnsi="Times New Roman" w:cs="Times New Roman"/>
          <w:sz w:val="24"/>
          <w:szCs w:val="24"/>
        </w:rPr>
        <w:t xml:space="preserve"> death of a person needs to bear clear proof that links the committer with intentions of wanting to end the life of the other. In most cases, these intentions do not have to correspond with the perspective of the victim. This concept is to mean that in any</w:t>
      </w:r>
      <w:r w:rsidRPr="007947A0">
        <w:rPr>
          <w:rFonts w:ascii="Times New Roman" w:hAnsi="Times New Roman" w:cs="Times New Roman"/>
          <w:sz w:val="24"/>
          <w:szCs w:val="24"/>
        </w:rPr>
        <w:t xml:space="preserve"> case an individual has a motive to end the life of an individual but instead accidentally ends that of another person, it still adds up to first degree murder. Most of the laws in many states and countries indicate that ending one’s life through action sh</w:t>
      </w:r>
      <w:r w:rsidRPr="007947A0">
        <w:rPr>
          <w:rFonts w:ascii="Times New Roman" w:hAnsi="Times New Roman" w:cs="Times New Roman"/>
          <w:sz w:val="24"/>
          <w:szCs w:val="24"/>
        </w:rPr>
        <w:t>owing a depraved indifference to the life of a person can be directly equated to first-degree murder. The elements of deliberation and premeditation can be grouped into one. These concepts mean that there is no need for an individual to have an earlier pla</w:t>
      </w:r>
      <w:r w:rsidRPr="007947A0">
        <w:rPr>
          <w:rFonts w:ascii="Times New Roman" w:hAnsi="Times New Roman" w:cs="Times New Roman"/>
          <w:sz w:val="24"/>
          <w:szCs w:val="24"/>
        </w:rPr>
        <w:t>n that details his/her mechanism of ending the life of another person. Some cases of murder categorized into first-degree could generally take place immediately without any prior plan. All that it took was the presence of a motive to kill another person. H</w:t>
      </w:r>
      <w:r w:rsidRPr="007947A0">
        <w:rPr>
          <w:rFonts w:ascii="Times New Roman" w:hAnsi="Times New Roman" w:cs="Times New Roman"/>
          <w:sz w:val="24"/>
          <w:szCs w:val="24"/>
        </w:rPr>
        <w:t xml:space="preserve">owever, as much as murder can occur in a very short time, there is need to understand that deliberation and premeditation comes before the actual taking of one’s life. First-degree murder does not entail deliberation and action happening at the same time. </w:t>
      </w:r>
      <w:r w:rsidRPr="007947A0">
        <w:rPr>
          <w:rFonts w:ascii="Times New Roman" w:hAnsi="Times New Roman" w:cs="Times New Roman"/>
          <w:sz w:val="24"/>
          <w:szCs w:val="24"/>
        </w:rPr>
        <w:t>There should be an initial premeditation, no matter how brief or short it was.</w:t>
      </w:r>
    </w:p>
    <w:p w:rsidR="005E1E58" w:rsidRPr="007947A0" w:rsidRDefault="000D65CF" w:rsidP="007947A0">
      <w:pPr>
        <w:spacing w:after="0" w:line="480" w:lineRule="auto"/>
        <w:ind w:firstLine="720"/>
        <w:rPr>
          <w:rFonts w:ascii="Times New Roman" w:hAnsi="Times New Roman" w:cs="Times New Roman"/>
          <w:sz w:val="24"/>
          <w:szCs w:val="24"/>
        </w:rPr>
      </w:pPr>
      <w:r w:rsidRPr="007947A0">
        <w:rPr>
          <w:rFonts w:ascii="Times New Roman" w:hAnsi="Times New Roman" w:cs="Times New Roman"/>
          <w:sz w:val="24"/>
          <w:szCs w:val="24"/>
        </w:rPr>
        <w:t>It is important to note that in the state of South Caroline, all district attorneys are referred to by the name “Solicitor.” The solicitor thereby seeks justice for the death of</w:t>
      </w:r>
      <w:r w:rsidRPr="007947A0">
        <w:rPr>
          <w:rFonts w:ascii="Times New Roman" w:hAnsi="Times New Roman" w:cs="Times New Roman"/>
          <w:sz w:val="24"/>
          <w:szCs w:val="24"/>
        </w:rPr>
        <w:t xml:space="preserve"> the lover since he believes that the accused acted with all intentions of killing. The defendant, however, claims that all the methods that were used to diagnose him were completely fake. It is also clinically proven that most of these tests normally gene</w:t>
      </w:r>
      <w:r w:rsidRPr="007947A0">
        <w:rPr>
          <w:rFonts w:ascii="Times New Roman" w:hAnsi="Times New Roman" w:cs="Times New Roman"/>
          <w:sz w:val="24"/>
          <w:szCs w:val="24"/>
        </w:rPr>
        <w:t>rate false positives. In their argument, the defendants of the case claim that there is lack of scientific proof to show that indeed he was HIV-Positive during the time when they were dating with the late lover. The accused is an African-American and in or</w:t>
      </w:r>
      <w:r w:rsidRPr="007947A0">
        <w:rPr>
          <w:rFonts w:ascii="Times New Roman" w:hAnsi="Times New Roman" w:cs="Times New Roman"/>
          <w:sz w:val="24"/>
          <w:szCs w:val="24"/>
        </w:rPr>
        <w:t>der to avoid possible counts of racism, the court resorted to include members from all races in its jury. These included four white women, three white men, three black women and two black men. In the opening session of the court, the solicitor introduces h</w:t>
      </w:r>
      <w:r w:rsidRPr="007947A0">
        <w:rPr>
          <w:rFonts w:ascii="Times New Roman" w:hAnsi="Times New Roman" w:cs="Times New Roman"/>
          <w:sz w:val="24"/>
          <w:szCs w:val="24"/>
        </w:rPr>
        <w:t>imself to the jury and the judge and outlines all the charges he is placing on the defendant. He identified the nature of the crime and assured that in accordance to the state laws which granted that a failure to inform one’s partner of being infected with</w:t>
      </w:r>
      <w:r w:rsidRPr="007947A0">
        <w:rPr>
          <w:rFonts w:ascii="Times New Roman" w:hAnsi="Times New Roman" w:cs="Times New Roman"/>
          <w:sz w:val="24"/>
          <w:szCs w:val="24"/>
        </w:rPr>
        <w:t xml:space="preserve"> HIV is similar to committing murder. The went ahead to link the crimes committed by the accused as to that of taking a gun and shooting a person. The only difference that existed was in the weapon whereby instead of a gun, the accused is believed to have </w:t>
      </w:r>
      <w:r w:rsidRPr="007947A0">
        <w:rPr>
          <w:rFonts w:ascii="Times New Roman" w:hAnsi="Times New Roman" w:cs="Times New Roman"/>
          <w:sz w:val="24"/>
          <w:szCs w:val="24"/>
        </w:rPr>
        <w:t>used the virus of HIV to commit the murder.</w:t>
      </w:r>
    </w:p>
    <w:p w:rsidR="005E1E58" w:rsidRPr="007947A0" w:rsidRDefault="000D65CF" w:rsidP="007947A0">
      <w:pPr>
        <w:spacing w:after="0" w:line="480" w:lineRule="auto"/>
        <w:rPr>
          <w:rFonts w:ascii="Times New Roman" w:hAnsi="Times New Roman" w:cs="Times New Roman"/>
          <w:b/>
          <w:bCs/>
          <w:sz w:val="24"/>
          <w:szCs w:val="24"/>
        </w:rPr>
      </w:pPr>
      <w:r w:rsidRPr="007947A0">
        <w:rPr>
          <w:rFonts w:ascii="Times New Roman" w:hAnsi="Times New Roman" w:cs="Times New Roman"/>
          <w:b/>
          <w:bCs/>
          <w:sz w:val="24"/>
          <w:szCs w:val="24"/>
        </w:rPr>
        <w:t>Defendat's Petitions</w:t>
      </w:r>
    </w:p>
    <w:p w:rsidR="007947A0" w:rsidRPr="007947A0" w:rsidRDefault="000D65CF" w:rsidP="007947A0">
      <w:pPr>
        <w:spacing w:after="0" w:line="480" w:lineRule="auto"/>
        <w:ind w:firstLine="720"/>
        <w:rPr>
          <w:rFonts w:ascii="Times New Roman" w:hAnsi="Times New Roman" w:cs="Times New Roman"/>
          <w:sz w:val="24"/>
          <w:szCs w:val="24"/>
        </w:rPr>
      </w:pPr>
      <w:r w:rsidRPr="007947A0">
        <w:rPr>
          <w:rFonts w:ascii="Times New Roman" w:hAnsi="Times New Roman" w:cs="Times New Roman"/>
          <w:sz w:val="24"/>
          <w:szCs w:val="24"/>
        </w:rPr>
        <w:t>The defendant’s attorney began his opening statements with an advice to the jury. He informed them that they should avoid giving a verdict through the flow of their emotions. The attorney ren</w:t>
      </w:r>
      <w:r w:rsidRPr="007947A0">
        <w:rPr>
          <w:rFonts w:ascii="Times New Roman" w:hAnsi="Times New Roman" w:cs="Times New Roman"/>
          <w:sz w:val="24"/>
          <w:szCs w:val="24"/>
        </w:rPr>
        <w:t>dered the defendant innocent until proven guilty. Proving him guilty means that the prosecutor should identify the motive, opportunity as well as method used clearly</w:t>
      </w:r>
      <w:r w:rsidRPr="007947A0">
        <w:rPr>
          <w:rFonts w:ascii="Times New Roman" w:hAnsi="Times New Roman" w:cs="Times New Roman"/>
          <w:sz w:val="24"/>
          <w:szCs w:val="24"/>
        </w:rPr>
        <w:t xml:space="preserve"> </w:t>
      </w:r>
      <w:r w:rsidRPr="007947A0">
        <w:rPr>
          <w:rFonts w:ascii="Times New Roman" w:hAnsi="Times New Roman" w:cs="Times New Roman"/>
          <w:sz w:val="24"/>
          <w:szCs w:val="24"/>
        </w:rPr>
        <w:t>(Cullen, 2017)</w:t>
      </w:r>
      <w:r w:rsidRPr="007947A0">
        <w:rPr>
          <w:rFonts w:ascii="Times New Roman" w:hAnsi="Times New Roman" w:cs="Times New Roman"/>
          <w:sz w:val="24"/>
          <w:szCs w:val="24"/>
        </w:rPr>
        <w:t>. To clear out the presence of motive, the attorney stated that the defendan</w:t>
      </w:r>
      <w:r w:rsidRPr="007947A0">
        <w:rPr>
          <w:rFonts w:ascii="Times New Roman" w:hAnsi="Times New Roman" w:cs="Times New Roman"/>
          <w:sz w:val="24"/>
          <w:szCs w:val="24"/>
        </w:rPr>
        <w:t>t’s lover had agreed to engage in sexual intimacy at her own will. No one had actually forced her into having an affair with the defendant and there is no proof that would indicate the presence of animosity in the relationship. This state thereby rules out</w:t>
      </w:r>
      <w:r w:rsidRPr="007947A0">
        <w:rPr>
          <w:rFonts w:ascii="Times New Roman" w:hAnsi="Times New Roman" w:cs="Times New Roman"/>
          <w:sz w:val="24"/>
          <w:szCs w:val="24"/>
        </w:rPr>
        <w:t xml:space="preserve"> the possibility of the accused wanting to harm the late lover.</w:t>
      </w:r>
    </w:p>
    <w:p w:rsidR="007947A0" w:rsidRPr="007947A0" w:rsidRDefault="000D65CF" w:rsidP="007947A0">
      <w:pPr>
        <w:spacing w:after="0" w:line="480" w:lineRule="auto"/>
        <w:ind w:firstLine="720"/>
        <w:rPr>
          <w:rFonts w:ascii="Times New Roman" w:hAnsi="Times New Roman" w:cs="Times New Roman"/>
          <w:sz w:val="24"/>
          <w:szCs w:val="24"/>
        </w:rPr>
      </w:pPr>
      <w:r w:rsidRPr="007947A0">
        <w:rPr>
          <w:rFonts w:ascii="Times New Roman" w:hAnsi="Times New Roman" w:cs="Times New Roman"/>
          <w:sz w:val="24"/>
          <w:szCs w:val="24"/>
        </w:rPr>
        <w:t xml:space="preserve"> On the aspect of opportunity, the engagement of the couple into sexual intimacy creates room for a lot of possibilities and opportunities. It is nearly impossible to outline the exact opportun</w:t>
      </w:r>
      <w:r w:rsidRPr="007947A0">
        <w:rPr>
          <w:rFonts w:ascii="Times New Roman" w:hAnsi="Times New Roman" w:cs="Times New Roman"/>
          <w:sz w:val="24"/>
          <w:szCs w:val="24"/>
        </w:rPr>
        <w:t>ity of infection. The defendant’s attorney makes it clear to the jury and the court that the method of killing is the main focus of the trial. He pointed out that contrary to the efforts being made by the solicitor, the defendant did not actually hold a gu</w:t>
      </w:r>
      <w:r w:rsidRPr="007947A0">
        <w:rPr>
          <w:rFonts w:ascii="Times New Roman" w:hAnsi="Times New Roman" w:cs="Times New Roman"/>
          <w:sz w:val="24"/>
          <w:szCs w:val="24"/>
        </w:rPr>
        <w:t>n and shoot his lover, neither did he stab her using a knife, nor did he tie her up and rape her. It is evident that the defendant engaged in sex with his lover at her agreement.</w:t>
      </w:r>
    </w:p>
    <w:p w:rsidR="007947A0" w:rsidRPr="007947A0" w:rsidRDefault="000D65CF" w:rsidP="007947A0">
      <w:pPr>
        <w:spacing w:after="0" w:line="480" w:lineRule="auto"/>
        <w:ind w:firstLine="720"/>
        <w:rPr>
          <w:rFonts w:ascii="Times New Roman" w:hAnsi="Times New Roman" w:cs="Times New Roman"/>
          <w:sz w:val="24"/>
          <w:szCs w:val="24"/>
        </w:rPr>
      </w:pPr>
      <w:r w:rsidRPr="007947A0">
        <w:rPr>
          <w:rFonts w:ascii="Times New Roman" w:hAnsi="Times New Roman" w:cs="Times New Roman"/>
          <w:sz w:val="24"/>
          <w:szCs w:val="24"/>
        </w:rPr>
        <w:t xml:space="preserve">In the line of issuing out defense upon the accused, the attorney guaranteed </w:t>
      </w:r>
      <w:r w:rsidRPr="007947A0">
        <w:rPr>
          <w:rFonts w:ascii="Times New Roman" w:hAnsi="Times New Roman" w:cs="Times New Roman"/>
          <w:sz w:val="24"/>
          <w:szCs w:val="24"/>
        </w:rPr>
        <w:t>the court that he would invite some witnesses who would testify on the presence of the HIV virus. He also added that the court would get proof that neither the defendant nor the former lover was initially infected with the HIV virus. The first defense witn</w:t>
      </w:r>
      <w:r w:rsidRPr="007947A0">
        <w:rPr>
          <w:rFonts w:ascii="Times New Roman" w:hAnsi="Times New Roman" w:cs="Times New Roman"/>
          <w:sz w:val="24"/>
          <w:szCs w:val="24"/>
        </w:rPr>
        <w:t>ess to take the stand was a doctor in bio-organic chemistry who studied at the University of Colorado. He also has experience in working at the company; Applied Molecular Genetic, popularly known by the name Amgen. The doctor attested to having been involv</w:t>
      </w:r>
      <w:r w:rsidRPr="007947A0">
        <w:rPr>
          <w:rFonts w:ascii="Times New Roman" w:hAnsi="Times New Roman" w:cs="Times New Roman"/>
          <w:sz w:val="24"/>
          <w:szCs w:val="24"/>
        </w:rPr>
        <w:t xml:space="preserve">ed in the creation of the tests commonly used. This is the ELISA test kit. According to the doctor, the kit identifies the presence of a virus in the body through the detection of antibodies. He also pointed out that the test kit was the third most likely </w:t>
      </w:r>
      <w:r w:rsidRPr="007947A0">
        <w:rPr>
          <w:rFonts w:ascii="Times New Roman" w:hAnsi="Times New Roman" w:cs="Times New Roman"/>
          <w:sz w:val="24"/>
          <w:szCs w:val="24"/>
        </w:rPr>
        <w:t>to be able to detect the virus in someone’s body. On the aspect of accuracy, he noted that the ELISA test is the least accurate among all the tests that are determined to identify the presence of HIV in an individual. The defense attorney inquired on the m</w:t>
      </w:r>
      <w:r w:rsidRPr="007947A0">
        <w:rPr>
          <w:rFonts w:ascii="Times New Roman" w:hAnsi="Times New Roman" w:cs="Times New Roman"/>
          <w:sz w:val="24"/>
          <w:szCs w:val="24"/>
        </w:rPr>
        <w:t>ost accurate method of determining the presence of the virus in the body and this turned out to be the method of direct proof. It involves directly isolating all the viruses in the body and closely determining their identities. The reason why there is less</w:t>
      </w:r>
      <w:r w:rsidRPr="007947A0">
        <w:rPr>
          <w:rFonts w:ascii="Times New Roman" w:hAnsi="Times New Roman" w:cs="Times New Roman"/>
          <w:sz w:val="24"/>
          <w:szCs w:val="24"/>
        </w:rPr>
        <w:t xml:space="preserve"> usage of the direct proof method is due to the high prices involved in its conduction. </w:t>
      </w:r>
    </w:p>
    <w:p w:rsidR="005E1E58" w:rsidRPr="007947A0" w:rsidRDefault="000D65CF" w:rsidP="007947A0">
      <w:pPr>
        <w:spacing w:after="0" w:line="480" w:lineRule="auto"/>
        <w:ind w:firstLine="720"/>
        <w:rPr>
          <w:rFonts w:ascii="Times New Roman" w:hAnsi="Times New Roman" w:cs="Times New Roman"/>
          <w:sz w:val="24"/>
          <w:szCs w:val="24"/>
        </w:rPr>
      </w:pPr>
      <w:r w:rsidRPr="007947A0">
        <w:rPr>
          <w:rFonts w:ascii="Times New Roman" w:hAnsi="Times New Roman" w:cs="Times New Roman"/>
          <w:sz w:val="24"/>
          <w:szCs w:val="24"/>
        </w:rPr>
        <w:t>The process of direct proof method is considered to be very expensive. He also pointed out that it is difficult to single out the HIV viruses in the body cells. For ins</w:t>
      </w:r>
      <w:r w:rsidRPr="007947A0">
        <w:rPr>
          <w:rFonts w:ascii="Times New Roman" w:hAnsi="Times New Roman" w:cs="Times New Roman"/>
          <w:sz w:val="24"/>
          <w:szCs w:val="24"/>
        </w:rPr>
        <w:t xml:space="preserve">tance, when looking for the flu virus, one would single out close to two hundred out of five hundred flu cells. As for HIV viruses, one can only get a single cell out of ten thousand cells. The second most accurate means of determining the presence of the </w:t>
      </w:r>
      <w:r w:rsidRPr="007947A0">
        <w:rPr>
          <w:rFonts w:ascii="Times New Roman" w:hAnsi="Times New Roman" w:cs="Times New Roman"/>
          <w:sz w:val="24"/>
          <w:szCs w:val="24"/>
        </w:rPr>
        <w:t>virus in the body is through direct evidence. This method associates itself with the identification of fragments belonging to the virus. Direct evidence can be linked to the analogy of looking for your car in a carpark full of cars while under a blindfold.</w:t>
      </w:r>
      <w:r w:rsidRPr="007947A0">
        <w:rPr>
          <w:rFonts w:ascii="Times New Roman" w:hAnsi="Times New Roman" w:cs="Times New Roman"/>
          <w:sz w:val="24"/>
          <w:szCs w:val="24"/>
        </w:rPr>
        <w:t xml:space="preserve"> One can only be certain of his car due to unique features that are well identified to the individual. These include a convertible top with a special wheel cover. According to the doctor, the HIV ELISA test is meant to identify the antibodies of the virus </w:t>
      </w:r>
      <w:r w:rsidRPr="007947A0">
        <w:rPr>
          <w:rFonts w:ascii="Times New Roman" w:hAnsi="Times New Roman" w:cs="Times New Roman"/>
          <w:sz w:val="24"/>
          <w:szCs w:val="24"/>
        </w:rPr>
        <w:t>and not particles of the virus itself. It is also important to note that an antibody would only exist in one’s body after the acquisition of a cure. This state generally means that in the event one turns out to be positive in a HIV ELISA test, there is pro</w:t>
      </w:r>
      <w:r w:rsidRPr="007947A0">
        <w:rPr>
          <w:rFonts w:ascii="Times New Roman" w:hAnsi="Times New Roman" w:cs="Times New Roman"/>
          <w:sz w:val="24"/>
          <w:szCs w:val="24"/>
        </w:rPr>
        <w:t>of that the antibody is within the body thereby implying that the individual is actually immune to the virus.</w:t>
      </w:r>
    </w:p>
    <w:p w:rsidR="005E1E58" w:rsidRPr="007947A0" w:rsidRDefault="000D65CF" w:rsidP="007947A0">
      <w:pPr>
        <w:spacing w:after="0" w:line="480" w:lineRule="auto"/>
        <w:rPr>
          <w:rFonts w:ascii="Times New Roman" w:hAnsi="Times New Roman" w:cs="Times New Roman"/>
          <w:b/>
          <w:bCs/>
          <w:sz w:val="24"/>
          <w:szCs w:val="24"/>
        </w:rPr>
      </w:pPr>
      <w:r w:rsidRPr="007947A0">
        <w:rPr>
          <w:rFonts w:ascii="Times New Roman" w:hAnsi="Times New Roman" w:cs="Times New Roman"/>
          <w:b/>
          <w:bCs/>
          <w:sz w:val="24"/>
          <w:szCs w:val="24"/>
        </w:rPr>
        <w:t>Conclusion</w:t>
      </w:r>
    </w:p>
    <w:p w:rsidR="005E1E58" w:rsidRPr="007947A0" w:rsidRDefault="000D65CF" w:rsidP="007947A0">
      <w:pPr>
        <w:spacing w:after="0" w:line="480" w:lineRule="auto"/>
        <w:ind w:firstLine="720"/>
        <w:rPr>
          <w:rFonts w:ascii="Times New Roman" w:hAnsi="Times New Roman" w:cs="Times New Roman"/>
          <w:sz w:val="24"/>
          <w:szCs w:val="24"/>
        </w:rPr>
      </w:pPr>
      <w:r w:rsidRPr="007947A0">
        <w:rPr>
          <w:rFonts w:ascii="Times New Roman" w:hAnsi="Times New Roman" w:cs="Times New Roman"/>
          <w:sz w:val="24"/>
          <w:szCs w:val="24"/>
        </w:rPr>
        <w:t>The defendant is presumed to have only undergone an ELISA test in which he turned out to be positive. It therefore means that he is onl</w:t>
      </w:r>
      <w:r w:rsidRPr="007947A0">
        <w:rPr>
          <w:rFonts w:ascii="Times New Roman" w:hAnsi="Times New Roman" w:cs="Times New Roman"/>
          <w:sz w:val="24"/>
          <w:szCs w:val="24"/>
        </w:rPr>
        <w:t>y immune to an attack by the HIV virus. This state thereby goes contrary to what the prosecutor is demanding. The defendant is actually not positive to the virus thereby implying that he could have not infected the late lover. The court eventually found th</w:t>
      </w:r>
      <w:r w:rsidRPr="007947A0">
        <w:rPr>
          <w:rFonts w:ascii="Times New Roman" w:hAnsi="Times New Roman" w:cs="Times New Roman"/>
          <w:sz w:val="24"/>
          <w:szCs w:val="24"/>
        </w:rPr>
        <w:t>e defendant not guilty and all the charges were withdrawn from him, making him a free man.</w:t>
      </w: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sz w:val="24"/>
          <w:szCs w:val="24"/>
        </w:rPr>
      </w:pPr>
    </w:p>
    <w:p w:rsidR="005E1E58" w:rsidRDefault="005E1E58">
      <w:pPr>
        <w:spacing w:line="480" w:lineRule="auto"/>
        <w:rPr>
          <w:rFonts w:ascii="Times New Roman" w:hAnsi="Times New Roman" w:cs="Times New Roman"/>
          <w:b/>
          <w:bCs/>
          <w:sz w:val="24"/>
          <w:szCs w:val="24"/>
        </w:rPr>
      </w:pPr>
    </w:p>
    <w:p w:rsidR="005E1E58" w:rsidRPr="007947A0" w:rsidRDefault="000D65CF">
      <w:pPr>
        <w:spacing w:line="480" w:lineRule="auto"/>
        <w:jc w:val="center"/>
        <w:rPr>
          <w:rFonts w:ascii="Times New Roman" w:hAnsi="Times New Roman" w:cs="Times New Roman"/>
          <w:bCs/>
          <w:sz w:val="24"/>
          <w:szCs w:val="24"/>
        </w:rPr>
      </w:pPr>
      <w:r w:rsidRPr="007947A0">
        <w:rPr>
          <w:rFonts w:ascii="Times New Roman" w:hAnsi="Times New Roman" w:cs="Times New Roman"/>
          <w:bCs/>
          <w:sz w:val="24"/>
          <w:szCs w:val="24"/>
        </w:rPr>
        <w:t>Reference</w:t>
      </w:r>
    </w:p>
    <w:p w:rsidR="005E1E58" w:rsidRPr="007947A0" w:rsidRDefault="000D65CF" w:rsidP="007947A0">
      <w:pPr>
        <w:spacing w:after="0" w:line="480" w:lineRule="auto"/>
        <w:ind w:left="720" w:hanging="720"/>
        <w:contextualSpacing/>
        <w:rPr>
          <w:rFonts w:ascii="Times New Roman" w:hAnsi="Times New Roman" w:cs="Times New Roman"/>
          <w:sz w:val="24"/>
          <w:szCs w:val="24"/>
        </w:rPr>
      </w:pPr>
      <w:r w:rsidRPr="007947A0">
        <w:rPr>
          <w:rFonts w:ascii="Times New Roman" w:hAnsi="Times New Roman" w:cs="Times New Roman"/>
          <w:sz w:val="24"/>
          <w:szCs w:val="24"/>
        </w:rPr>
        <w:t xml:space="preserve">Beal, R. (2019). Waiver of Governmental Immunity: Agency Contested Case Proceedings and Its Application to Settlements. Baylor L. Rev., 71, </w:t>
      </w:r>
      <w:r w:rsidRPr="007947A0">
        <w:rPr>
          <w:rFonts w:ascii="Times New Roman" w:hAnsi="Times New Roman" w:cs="Times New Roman"/>
          <w:sz w:val="24"/>
          <w:szCs w:val="24"/>
        </w:rPr>
        <w:t>604.</w:t>
      </w:r>
    </w:p>
    <w:p w:rsidR="005E1E58" w:rsidRPr="007947A0" w:rsidRDefault="000D65CF" w:rsidP="007947A0">
      <w:pPr>
        <w:spacing w:after="0" w:line="480" w:lineRule="auto"/>
        <w:ind w:left="720" w:hanging="720"/>
        <w:contextualSpacing/>
        <w:rPr>
          <w:rFonts w:ascii="Times New Roman" w:hAnsi="Times New Roman" w:cs="Times New Roman"/>
          <w:sz w:val="24"/>
          <w:szCs w:val="24"/>
        </w:rPr>
      </w:pPr>
      <w:r w:rsidRPr="007947A0">
        <w:rPr>
          <w:rFonts w:ascii="Times New Roman" w:hAnsi="Times New Roman" w:cs="Times New Roman"/>
          <w:sz w:val="24"/>
          <w:szCs w:val="24"/>
        </w:rPr>
        <w:t>Cullen, M. (2017). Amending the legal characterization of the facts at trial stage in the proceedings of the International Criminal Court and the defendant's right to a fair trial:: case commentary. In Annotated Leading Cases of International Criminal</w:t>
      </w:r>
      <w:r w:rsidRPr="007947A0">
        <w:rPr>
          <w:rFonts w:ascii="Times New Roman" w:hAnsi="Times New Roman" w:cs="Times New Roman"/>
          <w:sz w:val="24"/>
          <w:szCs w:val="24"/>
        </w:rPr>
        <w:t xml:space="preserve"> Tribunals (pp. 216-224). Intersentia.</w:t>
      </w:r>
    </w:p>
    <w:p w:rsidR="005E1E58" w:rsidRPr="007947A0" w:rsidRDefault="000D65CF" w:rsidP="007947A0">
      <w:pPr>
        <w:spacing w:after="0" w:line="480" w:lineRule="auto"/>
        <w:ind w:left="720" w:hanging="720"/>
        <w:contextualSpacing/>
        <w:rPr>
          <w:rFonts w:ascii="Times New Roman" w:hAnsi="Times New Roman" w:cs="Times New Roman"/>
          <w:sz w:val="24"/>
          <w:szCs w:val="24"/>
        </w:rPr>
      </w:pPr>
      <w:r w:rsidRPr="007947A0">
        <w:rPr>
          <w:rFonts w:ascii="Times New Roman" w:hAnsi="Times New Roman" w:cs="Times New Roman"/>
          <w:sz w:val="24"/>
          <w:szCs w:val="24"/>
        </w:rPr>
        <w:t>Dickens, J., Masson, J., Garside, L., Young, J., &amp; Bader, K. (2019). Courts, care proceedings and outcomes uncertainty: The challenges of achieving and assessing “good outcomes” for children after child protection pro</w:t>
      </w:r>
      <w:r w:rsidRPr="007947A0">
        <w:rPr>
          <w:rFonts w:ascii="Times New Roman" w:hAnsi="Times New Roman" w:cs="Times New Roman"/>
          <w:sz w:val="24"/>
          <w:szCs w:val="24"/>
        </w:rPr>
        <w:t>ceedings. Child &amp; Family Social Work, 24(4), 574-581.</w:t>
      </w:r>
    </w:p>
    <w:p w:rsidR="005E1E58" w:rsidRPr="007947A0" w:rsidRDefault="000D65CF" w:rsidP="007947A0">
      <w:pPr>
        <w:spacing w:after="0" w:line="480" w:lineRule="auto"/>
        <w:ind w:left="720" w:hanging="720"/>
        <w:contextualSpacing/>
        <w:rPr>
          <w:rFonts w:ascii="Times New Roman" w:hAnsi="Times New Roman" w:cs="Times New Roman"/>
          <w:sz w:val="24"/>
          <w:szCs w:val="24"/>
        </w:rPr>
      </w:pPr>
      <w:r w:rsidRPr="007947A0">
        <w:rPr>
          <w:rFonts w:ascii="Times New Roman" w:hAnsi="Times New Roman" w:cs="Times New Roman"/>
          <w:sz w:val="24"/>
          <w:szCs w:val="24"/>
        </w:rPr>
        <w:t>Huang, W., Wei, W., Shi, X. T., &amp; Jiang, T. (2017). The analysis of the detection performance of nucleic acid testing and ELISA for HIV, HBV and HCB. Frontiers in Laboratory Medicine, 1(4), 200-202.</w:t>
      </w:r>
    </w:p>
    <w:p w:rsidR="005E1E58" w:rsidRPr="007947A0" w:rsidRDefault="000D65CF" w:rsidP="007947A0">
      <w:pPr>
        <w:spacing w:after="0" w:line="480" w:lineRule="auto"/>
        <w:ind w:left="720" w:hanging="720"/>
        <w:contextualSpacing/>
        <w:rPr>
          <w:rFonts w:ascii="Times New Roman" w:hAnsi="Times New Roman" w:cs="Times New Roman"/>
          <w:sz w:val="24"/>
          <w:szCs w:val="24"/>
        </w:rPr>
      </w:pPr>
      <w:r w:rsidRPr="007947A0">
        <w:rPr>
          <w:rFonts w:ascii="Times New Roman" w:hAnsi="Times New Roman" w:cs="Times New Roman"/>
          <w:sz w:val="24"/>
          <w:szCs w:val="24"/>
        </w:rPr>
        <w:t>Mas</w:t>
      </w:r>
      <w:r w:rsidRPr="007947A0">
        <w:rPr>
          <w:rFonts w:ascii="Times New Roman" w:hAnsi="Times New Roman" w:cs="Times New Roman"/>
          <w:sz w:val="24"/>
          <w:szCs w:val="24"/>
        </w:rPr>
        <w:t xml:space="preserve">son, J., Dickens, J., Bader, K., Garside, L., &amp; Young, J. (2017). How is the PLO working? What is its impact on court process and outcome?: The outcomes of care proceedings for children before and after care proceedings reform study interim report. Family </w:t>
      </w:r>
      <w:r w:rsidRPr="007947A0">
        <w:rPr>
          <w:rFonts w:ascii="Times New Roman" w:hAnsi="Times New Roman" w:cs="Times New Roman"/>
          <w:sz w:val="24"/>
          <w:szCs w:val="24"/>
        </w:rPr>
        <w:t>Law Week, ed176043.</w:t>
      </w:r>
    </w:p>
    <w:p w:rsidR="005E1E58" w:rsidRPr="007947A0" w:rsidRDefault="005E1E58">
      <w:pPr>
        <w:spacing w:line="480" w:lineRule="auto"/>
        <w:rPr>
          <w:rFonts w:ascii="Times New Roman" w:hAnsi="Times New Roman" w:cs="Times New Roman"/>
          <w:sz w:val="24"/>
          <w:szCs w:val="24"/>
        </w:rPr>
      </w:pPr>
    </w:p>
    <w:sectPr w:rsidR="005E1E58" w:rsidRPr="007947A0" w:rsidSect="007947A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65CF" w:rsidRDefault="000D65CF" w:rsidP="007947A0">
      <w:pPr>
        <w:spacing w:after="0" w:line="240" w:lineRule="auto"/>
      </w:pPr>
      <w:r>
        <w:separator/>
      </w:r>
    </w:p>
  </w:endnote>
  <w:endnote w:type="continuationSeparator" w:id="0">
    <w:p w:rsidR="000D65CF" w:rsidRDefault="000D65CF" w:rsidP="00794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65CF" w:rsidRDefault="000D65CF" w:rsidP="007947A0">
      <w:pPr>
        <w:spacing w:after="0" w:line="240" w:lineRule="auto"/>
      </w:pPr>
      <w:r>
        <w:separator/>
      </w:r>
    </w:p>
  </w:footnote>
  <w:footnote w:type="continuationSeparator" w:id="0">
    <w:p w:rsidR="000D65CF" w:rsidRDefault="000D65CF" w:rsidP="007947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7A0" w:rsidRPr="007947A0" w:rsidRDefault="007947A0" w:rsidP="007947A0">
    <w:pPr>
      <w:pStyle w:val="Header"/>
      <w:tabs>
        <w:tab w:val="clear" w:pos="4680"/>
      </w:tabs>
    </w:pPr>
    <w:r w:rsidRPr="007947A0">
      <w:rPr>
        <w:rFonts w:ascii="Times New Roman" w:hAnsi="Times New Roman" w:cs="Times New Roman"/>
        <w:sz w:val="24"/>
        <w:szCs w:val="24"/>
      </w:rPr>
      <w:t>THE TRIAL HEARING</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6</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7A0" w:rsidRPr="007947A0" w:rsidRDefault="007947A0" w:rsidP="007947A0">
    <w:pPr>
      <w:tabs>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7947A0">
      <w:rPr>
        <w:rFonts w:ascii="Times New Roman" w:hAnsi="Times New Roman" w:cs="Times New Roman"/>
        <w:sz w:val="24"/>
        <w:szCs w:val="24"/>
      </w:rPr>
      <w:t>THE TRIAL HEARING</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0D65CF">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E58"/>
    <w:rsid w:val="000D65CF"/>
    <w:rsid w:val="005E1E58"/>
    <w:rsid w:val="00794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7A0"/>
  </w:style>
  <w:style w:type="paragraph" w:styleId="Footer">
    <w:name w:val="footer"/>
    <w:basedOn w:val="Normal"/>
    <w:link w:val="FooterChar"/>
    <w:uiPriority w:val="99"/>
    <w:unhideWhenUsed/>
    <w:rsid w:val="007947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7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7A0"/>
  </w:style>
  <w:style w:type="paragraph" w:styleId="Footer">
    <w:name w:val="footer"/>
    <w:basedOn w:val="Normal"/>
    <w:link w:val="FooterChar"/>
    <w:uiPriority w:val="99"/>
    <w:unhideWhenUsed/>
    <w:rsid w:val="007947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1455</Words>
  <Characters>8297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2020-06-28T20:28:00Z</dcterms:created>
  <dcterms:modified xsi:type="dcterms:W3CDTF">2020-06-28T20:28:00Z</dcterms:modified>
</cp:coreProperties>
</file>