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77777777" w:rsidR="00134E38" w:rsidRDefault="00134E38" w:rsidP="00134E38">
      <w:pPr>
        <w:spacing w:line="480" w:lineRule="auto"/>
        <w:ind w:firstLine="720"/>
        <w:jc w:val="center"/>
        <w:rPr>
          <w:rFonts w:eastAsia="Calibri"/>
        </w:rPr>
      </w:pPr>
      <w:r>
        <w:t>Case Study: Filicide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667D051C" w14:textId="548F16D0" w:rsidR="00E96A0F" w:rsidRDefault="00134E38" w:rsidP="00BE662E">
      <w:pPr>
        <w:spacing w:line="480" w:lineRule="auto"/>
        <w:jc w:val="center"/>
      </w:pPr>
      <w:bookmarkStart w:id="0" w:name="_GoBack"/>
      <w:bookmarkEnd w:id="0"/>
      <w:r>
        <w:lastRenderedPageBreak/>
        <w:t>Case Study: Filicide</w:t>
      </w:r>
    </w:p>
    <w:p w14:paraId="7EFCC7EE" w14:textId="33AE4AB8" w:rsidR="00134E38" w:rsidRPr="000047CD" w:rsidRDefault="00134E38" w:rsidP="00BE662E">
      <w:pPr>
        <w:spacing w:line="480" w:lineRule="auto"/>
        <w:jc w:val="center"/>
        <w:rPr>
          <w:b/>
        </w:rPr>
      </w:pPr>
      <w:r w:rsidRPr="000047CD">
        <w:rPr>
          <w:b/>
        </w:rPr>
        <w:t>Summary</w:t>
      </w:r>
    </w:p>
    <w:p w14:paraId="434B674B" w14:textId="77777777" w:rsidR="007856BC" w:rsidRDefault="007856BC" w:rsidP="007856BC">
      <w:pPr>
        <w:spacing w:line="480" w:lineRule="auto"/>
        <w:ind w:firstLine="720"/>
      </w:pPr>
      <w:r>
        <w:t>On June 6, 2006, around 2.50 am. 21-year-old Kim called 112 with claims that a man had entered her apartment, killed her children. The children, a two-year-old girl named Roxanna and a six-month-old boy named Don, were found dead by the five police officers who responded to the call. Her explanation to the officers about a man who knocked at her door and she let her in is confusing. The children had been stabbed multiple times while the ay on their beds. The police found the knife with bloodstains on it. Kim had not been hurt except for a scratch about 13 centimeters on her neck. The police also noticed the blood on her left underarm. Kim was later arrested on the grounds of murder and manslaughter.</w:t>
      </w:r>
    </w:p>
    <w:p w14:paraId="6F5CED71" w14:textId="0B0B005C" w:rsidR="000047CD" w:rsidRPr="000047CD" w:rsidRDefault="000047CD" w:rsidP="00BE662E">
      <w:pPr>
        <w:spacing w:line="480" w:lineRule="auto"/>
        <w:jc w:val="center"/>
        <w:rPr>
          <w:b/>
        </w:rPr>
      </w:pPr>
      <w:r w:rsidRPr="000047CD">
        <w:rPr>
          <w:b/>
        </w:rPr>
        <w:t>Forensic Assessment Tools</w:t>
      </w:r>
    </w:p>
    <w:p w14:paraId="3EC6780C" w14:textId="5B0DFD2A" w:rsidR="007856BC" w:rsidRDefault="007856BC" w:rsidP="007856BC">
      <w:pPr>
        <w:spacing w:line="480" w:lineRule="auto"/>
        <w:ind w:firstLine="720"/>
      </w:pPr>
      <w:r>
        <w:t xml:space="preserve">Kim is detained in a women's prison, and as the law dictates, she is provided with an independent psychiatrist to evaluate her mental health at the time the offense was committed. However, the report submitted by the first forensic mental health evaluation contains some defects, and the judge orders a reevaluation. This case uses MMPI-2 and the SIRS tools to measure Kim's mental state when the crime was committed. The MMPI-2 would assist in finding out whether, if Kim was guilty, she was in her right mental state (Desmarais et al., 2016). The SIRS would help to determine whether Kim was in psychological defense mode at the time of the crime. </w:t>
      </w:r>
    </w:p>
    <w:p w14:paraId="5EF828FE" w14:textId="77777777" w:rsidR="007856BC" w:rsidRDefault="007856BC" w:rsidP="007856BC">
      <w:pPr>
        <w:spacing w:line="480" w:lineRule="auto"/>
        <w:ind w:firstLine="720"/>
      </w:pPr>
      <w:r>
        <w:t xml:space="preserve">The two tools which were used to come up with the report would have determined whether Kim was guilty of murder and manslaughter or not. However, the two tools alone could not be enough to write a comprehensive report. Other forensic assessment instruments need to be used together with the MMPI-2 to provide a more accurate evaluation (Desmarais et al., 2016). Such tools include the MacArthur competence assessment tool-criminal adjudication and the Wechsler Adult Intelligence Scale-Revised. </w:t>
      </w:r>
    </w:p>
    <w:p w14:paraId="7BC8A025" w14:textId="77777777" w:rsidR="000047CD" w:rsidRPr="000047CD" w:rsidRDefault="000047CD" w:rsidP="00BE662E">
      <w:pPr>
        <w:spacing w:line="480" w:lineRule="auto"/>
        <w:jc w:val="center"/>
        <w:rPr>
          <w:b/>
        </w:rPr>
      </w:pPr>
      <w:r w:rsidRPr="000047CD">
        <w:rPr>
          <w:b/>
        </w:rPr>
        <w:t>Evaluation of the Instruments</w:t>
      </w:r>
    </w:p>
    <w:p w14:paraId="714980CC" w14:textId="5AB4A3DA" w:rsidR="007856BC" w:rsidRDefault="007856BC" w:rsidP="007856BC">
      <w:pPr>
        <w:spacing w:line="480" w:lineRule="auto"/>
        <w:ind w:firstLine="720"/>
      </w:pPr>
      <w:r>
        <w:t xml:space="preserve">The MMPI-2 and the Wechsler Adult Intelligence Scale-Revised (WAIS-R) are highly reliable as they measure an individual's personality. The MMPI-2 comprises of 567 questions whose answers are true or false (Edens &amp; Boccaccini, 2017). The WAIS-R is a scale consisting of scores that rate a person's view of the world. The scale is useful because the questions are balanced in that a person can score high in a particular area and score low in another area. Scoring in this manner provides a clear picture of the individual's personality. </w:t>
      </w:r>
    </w:p>
    <w:p w14:paraId="2BDEFADC" w14:textId="77777777" w:rsidR="007856BC" w:rsidRDefault="007856BC" w:rsidP="007856BC">
      <w:pPr>
        <w:spacing w:line="480" w:lineRule="auto"/>
        <w:ind w:firstLine="720"/>
      </w:pPr>
      <w:r>
        <w:t>The MacArthur competence assessment tool-criminal adjudication (MacCAT-CA) is used to measure reasoning, understanding, and appreciation of a defendant's situation. The norms of this instrument are based on 729 defendants, with the provision of scores ranges for three impairment levels for each ability (Edens &amp; Boccaccini, 2017). The validity of these tools is still high and relevant in cases concerning capital crimes. The tools, although having been invented years ago, have helped determine the cognitive state of individuals who show abnormal traits. In the case of Kim, the instruments would have helped create a report that would indicate whether she was innocent or guilty. They would also help in explaining what happened in the night that Kim's children were murdered.</w:t>
      </w:r>
    </w:p>
    <w:p w14:paraId="7DCE1882" w14:textId="77777777" w:rsidR="000047CD" w:rsidRPr="000047CD" w:rsidRDefault="000047CD" w:rsidP="00BE662E">
      <w:pPr>
        <w:spacing w:line="480" w:lineRule="auto"/>
        <w:jc w:val="center"/>
        <w:rPr>
          <w:b/>
        </w:rPr>
      </w:pPr>
      <w:r w:rsidRPr="000047CD">
        <w:rPr>
          <w:b/>
        </w:rPr>
        <w:t>Importance of Understanding the Instruments</w:t>
      </w:r>
    </w:p>
    <w:p w14:paraId="329BE757" w14:textId="668F3380" w:rsidR="00E96A0F" w:rsidRDefault="007856BC" w:rsidP="007856BC">
      <w:pPr>
        <w:spacing w:line="480" w:lineRule="auto"/>
        <w:ind w:firstLine="720"/>
        <w:rPr>
          <w:rFonts w:eastAsia="Calibri"/>
        </w:rPr>
      </w:pPr>
      <w:r>
        <w:t>It is essential to understand the forensic assessment tools because whenever a forensic psychologist is faced with a case such as the one above, there is a need to choose the right instrument (Edens &amp; Boccaccini, 2017). Testing the wrong cognitive state may be a mistake that may lead to unpleasant effects, such as the sentencing of an innocent person. Additionally, it is critical to understand how the instruments work since the report that will be produced based on the findings may profoundly influence the court's judgment.</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43AB806B" w:rsidR="00C61E67" w:rsidRDefault="00C61E67" w:rsidP="00C61E67">
      <w:pPr>
        <w:spacing w:line="480" w:lineRule="auto"/>
        <w:ind w:left="720" w:hanging="720"/>
        <w:rPr>
          <w:rFonts w:eastAsia="Calibri"/>
        </w:rPr>
      </w:pPr>
      <w:r w:rsidRPr="00C61E67">
        <w:rPr>
          <w:rFonts w:eastAsia="Calibri"/>
        </w:rPr>
        <w:t>Desmarais, S. L., Johnson, K. L., &amp; Singh, J. P. (2016). Performance of recidivism risk assessment instruments in US correctional settings. </w:t>
      </w:r>
      <w:r w:rsidRPr="00C61E67">
        <w:rPr>
          <w:rFonts w:eastAsia="Calibri"/>
          <w:i/>
          <w:iCs/>
        </w:rPr>
        <w:t>Psychological Services</w:t>
      </w:r>
      <w:r w:rsidRPr="00C61E67">
        <w:rPr>
          <w:rFonts w:eastAsia="Calibri"/>
        </w:rPr>
        <w:t>, </w:t>
      </w:r>
      <w:r w:rsidRPr="00C61E67">
        <w:rPr>
          <w:rFonts w:eastAsia="Calibri"/>
          <w:i/>
          <w:iCs/>
        </w:rPr>
        <w:t>13</w:t>
      </w:r>
      <w:r w:rsidRPr="00C61E67">
        <w:rPr>
          <w:rFonts w:eastAsia="Calibri"/>
        </w:rPr>
        <w:t>(3), 206.</w:t>
      </w:r>
    </w:p>
    <w:p w14:paraId="7E326D11" w14:textId="77777777" w:rsidR="00D82D4C" w:rsidRDefault="00D82D4C" w:rsidP="00D82D4C">
      <w:pPr>
        <w:spacing w:line="480" w:lineRule="auto"/>
        <w:ind w:left="720" w:hanging="720"/>
        <w:rPr>
          <w:rFonts w:eastAsia="Calibri"/>
        </w:rPr>
      </w:pPr>
      <w:r w:rsidRPr="00C61E67">
        <w:rPr>
          <w:rFonts w:eastAsia="Calibri"/>
        </w:rPr>
        <w:t>Edens, J. F., &amp; Boccaccini, M. T. (2017). Taking forensic mental health assessment “out of the lab” and into “the real world”: Introduction to the special issue on the field utility of forensic assessment instruments and procedures. </w:t>
      </w:r>
      <w:r w:rsidRPr="00C61E67">
        <w:rPr>
          <w:rFonts w:eastAsia="Calibri"/>
          <w:i/>
          <w:iCs/>
        </w:rPr>
        <w:t>Psychological Assessment</w:t>
      </w:r>
      <w:r w:rsidRPr="00C61E67">
        <w:rPr>
          <w:rFonts w:eastAsia="Calibri"/>
        </w:rPr>
        <w:t>, </w:t>
      </w:r>
      <w:r w:rsidRPr="00C61E67">
        <w:rPr>
          <w:rFonts w:eastAsia="Calibri"/>
          <w:i/>
          <w:iCs/>
        </w:rPr>
        <w:t>29</w:t>
      </w:r>
      <w:r w:rsidRPr="00C61E67">
        <w:rPr>
          <w:rFonts w:eastAsia="Calibri"/>
        </w:rPr>
        <w:t>(6), 599.</w:t>
      </w:r>
    </w:p>
    <w:p w14:paraId="56651062" w14:textId="77777777" w:rsidR="00D82D4C" w:rsidRPr="00C61E67" w:rsidRDefault="00D82D4C" w:rsidP="00C61E67">
      <w:pPr>
        <w:spacing w:line="480" w:lineRule="auto"/>
        <w:ind w:left="720" w:hanging="720"/>
        <w:rPr>
          <w:rFonts w:eastAsia="Calibri"/>
        </w:rPr>
      </w:pPr>
    </w:p>
    <w:sectPr w:rsidR="00D82D4C"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F0AF22" w14:textId="77777777" w:rsidR="00494105" w:rsidRDefault="00494105">
      <w:pPr>
        <w:spacing w:after="0" w:line="240" w:lineRule="auto"/>
      </w:pPr>
      <w:r>
        <w:separator/>
      </w:r>
    </w:p>
  </w:endnote>
  <w:endnote w:type="continuationSeparator" w:id="0">
    <w:p w14:paraId="556E83F9" w14:textId="77777777" w:rsidR="00494105" w:rsidRDefault="00494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720301" w14:textId="77777777" w:rsidR="00494105" w:rsidRDefault="00494105">
      <w:pPr>
        <w:spacing w:after="0" w:line="240" w:lineRule="auto"/>
      </w:pPr>
      <w:r>
        <w:separator/>
      </w:r>
    </w:p>
  </w:footnote>
  <w:footnote w:type="continuationSeparator" w:id="0">
    <w:p w14:paraId="17F6E0B1" w14:textId="77777777" w:rsidR="00494105" w:rsidRDefault="00494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709E3F2" w:rsidR="000C5964" w:rsidRDefault="00134E38">
    <w:pPr>
      <w:pStyle w:val="Header"/>
    </w:pPr>
    <w:r w:rsidRPr="00134E38">
      <w:t xml:space="preserve">CASE STUDY: FILICIDE                                                                                   </w:t>
    </w:r>
    <w:r w:rsidR="00124E96">
      <w:tab/>
    </w:r>
    <w:r w:rsidR="00124E96">
      <w:fldChar w:fldCharType="begin"/>
    </w:r>
    <w:r w:rsidR="00124E96">
      <w:instrText xml:space="preserve"> PAGE   \* MERGEFORMAT </w:instrText>
    </w:r>
    <w:r w:rsidR="00124E96">
      <w:fldChar w:fldCharType="separate"/>
    </w:r>
    <w:r w:rsidR="00BE662E">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2A4653CF" w:rsidR="000C5964" w:rsidRDefault="00124E96" w:rsidP="005F776D">
    <w:pPr>
      <w:spacing w:line="480" w:lineRule="auto"/>
    </w:pPr>
    <w:r>
      <w:t xml:space="preserve">Running head: </w:t>
    </w:r>
    <w:r w:rsidR="00134E38">
      <w:t>CASE STUDY: FILICIDE</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494105">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58DE"/>
    <w:rsid w:val="000942A1"/>
    <w:rsid w:val="000A3DCB"/>
    <w:rsid w:val="000C5964"/>
    <w:rsid w:val="000D0995"/>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94105"/>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465A6"/>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D02AE"/>
    <w:rsid w:val="00BE662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D40778"/>
    <w:rsid w:val="00D64CD9"/>
    <w:rsid w:val="00D67C9C"/>
    <w:rsid w:val="00D7670B"/>
    <w:rsid w:val="00D77B78"/>
    <w:rsid w:val="00D824D6"/>
    <w:rsid w:val="00D82D4C"/>
    <w:rsid w:val="00DB3A96"/>
    <w:rsid w:val="00DC03AF"/>
    <w:rsid w:val="00DD0658"/>
    <w:rsid w:val="00DD20F7"/>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0557"/>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A9244-AAD6-4F6D-A95B-B78EA2F04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2020-06-20T20:46:00Z</dcterms:created>
  <dcterms:modified xsi:type="dcterms:W3CDTF">2020-06-20T20:46:00Z</dcterms:modified>
</cp:coreProperties>
</file>