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59B" w:rsidRDefault="00F5459B" w:rsidP="00F5459B">
      <w:pPr>
        <w:tabs>
          <w:tab w:val="left" w:pos="1830"/>
        </w:tabs>
        <w:spacing w:line="360" w:lineRule="auto"/>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F5459B" w:rsidRDefault="00F5459B" w:rsidP="00F5459B">
      <w:pPr>
        <w:tabs>
          <w:tab w:val="left" w:pos="1830"/>
        </w:tabs>
        <w:spacing w:line="360" w:lineRule="auto"/>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F5459B" w:rsidRDefault="00F5459B" w:rsidP="00F5459B">
      <w:pPr>
        <w:tabs>
          <w:tab w:val="left" w:pos="1830"/>
        </w:tabs>
        <w:spacing w:line="360" w:lineRule="auto"/>
        <w:ind w:firstLine="720"/>
        <w:jc w:val="center"/>
        <w:rPr>
          <w:rFonts w:cstheme="minorHAnsi"/>
          <w:b/>
          <w:sz w:val="24"/>
          <w:szCs w:val="24"/>
        </w:rPr>
      </w:pPr>
    </w:p>
    <w:p w:rsidR="006F2C11" w:rsidRDefault="000A0747" w:rsidP="00F5459B">
      <w:pPr>
        <w:tabs>
          <w:tab w:val="left" w:pos="1830"/>
        </w:tabs>
        <w:spacing w:line="360" w:lineRule="auto"/>
        <w:ind w:firstLine="720"/>
        <w:jc w:val="center"/>
        <w:rPr>
          <w:rFonts w:cstheme="minorHAnsi"/>
          <w:b/>
          <w:sz w:val="24"/>
          <w:szCs w:val="24"/>
        </w:rPr>
      </w:pPr>
      <w:r w:rsidRPr="00F5459B">
        <w:rPr>
          <w:rFonts w:cstheme="minorHAnsi"/>
          <w:b/>
          <w:sz w:val="24"/>
          <w:szCs w:val="24"/>
        </w:rPr>
        <w:t>Criminal Acts and Property Damage</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Name</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Institution</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Course Name</w:t>
      </w:r>
    </w:p>
    <w:p w:rsidR="00F5459B" w:rsidRPr="00F5459B" w:rsidRDefault="000A0747" w:rsidP="00F5459B">
      <w:pPr>
        <w:tabs>
          <w:tab w:val="left" w:pos="1830"/>
        </w:tabs>
        <w:spacing w:line="360" w:lineRule="auto"/>
        <w:ind w:firstLine="720"/>
        <w:jc w:val="center"/>
        <w:rPr>
          <w:rFonts w:cstheme="minorHAnsi"/>
          <w:sz w:val="24"/>
          <w:szCs w:val="24"/>
        </w:rPr>
      </w:pPr>
      <w:r w:rsidRPr="00F5459B">
        <w:rPr>
          <w:rFonts w:cstheme="minorHAnsi"/>
          <w:sz w:val="24"/>
          <w:szCs w:val="24"/>
        </w:rPr>
        <w:t>Instructor’s Name</w:t>
      </w:r>
    </w:p>
    <w:p w:rsidR="006F2C11" w:rsidRPr="006F2C11" w:rsidRDefault="000A0747" w:rsidP="005917C3">
      <w:pPr>
        <w:tabs>
          <w:tab w:val="left" w:pos="1830"/>
        </w:tabs>
        <w:spacing w:line="360" w:lineRule="auto"/>
        <w:ind w:firstLine="720"/>
        <w:jc w:val="center"/>
        <w:rPr>
          <w:rFonts w:cstheme="minorHAnsi"/>
          <w:sz w:val="24"/>
          <w:szCs w:val="24"/>
        </w:rPr>
      </w:pPr>
      <w:r w:rsidRPr="00F5459B">
        <w:rPr>
          <w:rFonts w:cstheme="minorHAnsi"/>
          <w:sz w:val="24"/>
          <w:szCs w:val="24"/>
        </w:rPr>
        <w:t>Date</w:t>
      </w:r>
    </w:p>
    <w:p w:rsidR="006F2C11" w:rsidRDefault="006F2C11" w:rsidP="00F5459B">
      <w:pPr>
        <w:spacing w:line="360" w:lineRule="auto"/>
        <w:jc w:val="both"/>
        <w:rPr>
          <w:rFonts w:cstheme="minorHAnsi"/>
          <w:sz w:val="24"/>
          <w:szCs w:val="24"/>
        </w:rPr>
      </w:pPr>
    </w:p>
    <w:p w:rsidR="00F5459B" w:rsidRPr="006F2C11" w:rsidRDefault="00F5459B" w:rsidP="00F5459B">
      <w:pPr>
        <w:spacing w:line="360" w:lineRule="auto"/>
        <w:jc w:val="both"/>
        <w:rPr>
          <w:rFonts w:cstheme="minorHAnsi"/>
          <w:sz w:val="24"/>
          <w:szCs w:val="24"/>
        </w:rPr>
      </w:pPr>
    </w:p>
    <w:p w:rsidR="006F2C11" w:rsidRDefault="006F2C11" w:rsidP="006F2C11">
      <w:pPr>
        <w:spacing w:line="360" w:lineRule="auto"/>
        <w:ind w:firstLine="720"/>
        <w:jc w:val="both"/>
        <w:rPr>
          <w:rFonts w:cstheme="minorHAnsi"/>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463731" w:rsidRDefault="00463731" w:rsidP="003907A1">
      <w:pPr>
        <w:spacing w:line="360" w:lineRule="auto"/>
        <w:ind w:firstLine="720"/>
        <w:jc w:val="center"/>
        <w:rPr>
          <w:rFonts w:cstheme="minorHAnsi"/>
          <w:b/>
          <w:sz w:val="24"/>
          <w:szCs w:val="24"/>
        </w:rPr>
      </w:pPr>
    </w:p>
    <w:p w:rsidR="003907A1" w:rsidRPr="003907A1" w:rsidRDefault="003907A1" w:rsidP="003907A1">
      <w:pPr>
        <w:spacing w:line="360" w:lineRule="auto"/>
        <w:ind w:firstLine="720"/>
        <w:jc w:val="center"/>
        <w:rPr>
          <w:rFonts w:cstheme="minorHAnsi"/>
          <w:b/>
          <w:sz w:val="24"/>
          <w:szCs w:val="24"/>
        </w:rPr>
      </w:pPr>
      <w:r w:rsidRPr="003907A1">
        <w:rPr>
          <w:rFonts w:cstheme="minorHAnsi"/>
          <w:b/>
          <w:sz w:val="24"/>
          <w:szCs w:val="24"/>
        </w:rPr>
        <w:lastRenderedPageBreak/>
        <w:t>Criminal Acts and Property Damage</w:t>
      </w:r>
    </w:p>
    <w:p w:rsidR="0043770B"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the suspects of several acts of crime that occurred sequentially in the same night, </w:t>
      </w:r>
      <w:r w:rsidR="00B055D1" w:rsidRPr="006F2C11">
        <w:rPr>
          <w:rFonts w:cstheme="minorHAnsi"/>
          <w:sz w:val="24"/>
          <w:szCs w:val="24"/>
        </w:rPr>
        <w:t>and it involved both defendants. O</w:t>
      </w:r>
      <w:r w:rsidR="00632BD2" w:rsidRPr="006F2C11">
        <w:rPr>
          <w:rFonts w:cstheme="minorHAnsi"/>
          <w:sz w:val="24"/>
          <w:szCs w:val="24"/>
        </w:rPr>
        <w:t xml:space="preserve">ne </w:t>
      </w:r>
      <w:r w:rsidR="00B055D1" w:rsidRPr="006F2C11">
        <w:rPr>
          <w:rFonts w:cstheme="minorHAnsi"/>
          <w:sz w:val="24"/>
          <w:szCs w:val="24"/>
        </w:rPr>
        <w:t xml:space="preserve">of the pair </w:t>
      </w:r>
      <w:r w:rsidR="00632BD2" w:rsidRPr="006F2C11">
        <w:rPr>
          <w:rFonts w:cstheme="minorHAnsi"/>
          <w:sz w:val="24"/>
          <w:szCs w:val="24"/>
        </w:rPr>
        <w:t xml:space="preserve">was involved directly, Damian Domino, while his partner, Harry Heart </w:t>
      </w:r>
      <w:r w:rsidR="00E516C7" w:rsidRPr="006F2C11">
        <w:rPr>
          <w:rFonts w:cstheme="minorHAnsi"/>
          <w:sz w:val="24"/>
          <w:szCs w:val="24"/>
        </w:rPr>
        <w:t>was indirectly</w:t>
      </w:r>
      <w:r w:rsidR="00632BD2" w:rsidRPr="006F2C11">
        <w:rPr>
          <w:rFonts w:cstheme="minorHAnsi"/>
          <w:sz w:val="24"/>
          <w:szCs w:val="24"/>
        </w:rPr>
        <w:t xml:space="preserve"> involved in the unlawful events as the party that was to facilitate the crimes committed.</w:t>
      </w:r>
      <w:r w:rsidR="00E516C7" w:rsidRPr="006F2C11">
        <w:rPr>
          <w:rFonts w:cstheme="minorHAnsi"/>
          <w:sz w:val="24"/>
          <w:szCs w:val="24"/>
        </w:rPr>
        <w:t xml:space="preserve"> Throughout their night of consecutive acts of felonies, they were involved in the offenses in</w:t>
      </w:r>
      <w:r w:rsidR="00B45291" w:rsidRPr="006F2C11">
        <w:rPr>
          <w:rFonts w:cstheme="minorHAnsi"/>
          <w:sz w:val="24"/>
          <w:szCs w:val="24"/>
        </w:rPr>
        <w:t xml:space="preserve"> different </w:t>
      </w:r>
      <w:r w:rsidR="00FC1A7A" w:rsidRPr="006F2C11">
        <w:rPr>
          <w:rFonts w:cstheme="minorHAnsi"/>
          <w:sz w:val="24"/>
          <w:szCs w:val="24"/>
        </w:rPr>
        <w:t>ways;</w:t>
      </w:r>
      <w:r w:rsidR="00B45291" w:rsidRPr="006F2C11">
        <w:rPr>
          <w:rFonts w:cstheme="minorHAnsi"/>
          <w:sz w:val="24"/>
          <w:szCs w:val="24"/>
        </w:rPr>
        <w:t xml:space="preserve"> therefore the consequences of their actions were of varying degree.</w:t>
      </w:r>
      <w:r w:rsidR="00FC1A7A" w:rsidRPr="006F2C11">
        <w:rPr>
          <w:rFonts w:cstheme="minorHAnsi"/>
          <w:sz w:val="24"/>
          <w:szCs w:val="24"/>
        </w:rPr>
        <w:t>Their case is</w:t>
      </w:r>
      <w:r w:rsidR="003C3D97" w:rsidRPr="006F2C11">
        <w:rPr>
          <w:rFonts w:cstheme="minorHAnsi"/>
          <w:sz w:val="24"/>
          <w:szCs w:val="24"/>
        </w:rPr>
        <w:t xml:space="preserve"> of a complex nature that has</w:t>
      </w:r>
      <w:r w:rsidR="00383D69" w:rsidRPr="006F2C11">
        <w:rPr>
          <w:rFonts w:cstheme="minorHAnsi"/>
          <w:sz w:val="24"/>
          <w:szCs w:val="24"/>
        </w:rPr>
        <w:t xml:space="preserve"> loopholes both the defendants and plaintiffs could manipulate to influence the final verdict of the jury. This could also be </w:t>
      </w:r>
      <w:r w:rsidR="00A755FD" w:rsidRPr="006F2C11">
        <w:rPr>
          <w:rFonts w:cstheme="minorHAnsi"/>
          <w:sz w:val="24"/>
          <w:szCs w:val="24"/>
        </w:rPr>
        <w:t xml:space="preserve">attributed to the events that unfolded during their crime spree which influenced how the next act of </w:t>
      </w:r>
      <w:r w:rsidR="000D0B8D" w:rsidRPr="006F2C11">
        <w:rPr>
          <w:rFonts w:cstheme="minorHAnsi"/>
          <w:sz w:val="24"/>
          <w:szCs w:val="24"/>
        </w:rPr>
        <w:t>theft</w:t>
      </w:r>
      <w:r w:rsidR="00A755FD" w:rsidRPr="006F2C11">
        <w:rPr>
          <w:rFonts w:cstheme="minorHAnsi"/>
          <w:sz w:val="24"/>
          <w:szCs w:val="24"/>
        </w:rPr>
        <w:t xml:space="preserve"> would </w:t>
      </w:r>
      <w:r w:rsidR="00CD3216" w:rsidRPr="006F2C11">
        <w:rPr>
          <w:rFonts w:cstheme="minorHAnsi"/>
          <w:sz w:val="24"/>
          <w:szCs w:val="24"/>
        </w:rPr>
        <w:t>happen.</w:t>
      </w:r>
      <w:r w:rsidR="003C3D97" w:rsidRPr="006F2C11">
        <w:rPr>
          <w:rFonts w:cstheme="minorHAnsi"/>
          <w:sz w:val="24"/>
          <w:szCs w:val="24"/>
        </w:rPr>
        <w:t xml:space="preserve"> In the first scenario, a couple is spotted by the watch-out, Harry heart, who proceeds to alert Damian Domino while he had partially managed to break into the house. He is forced to abort his mission; however, his theft of a radio on the exterior of the house is detected by a surveillance system. They move on to 16 Routledge Street from 20 Routledge Street after their setback where Damian Domino successfully manages to get away with jewelry </w:t>
      </w:r>
      <w:r w:rsidR="008D68C9" w:rsidRPr="006F2C11">
        <w:rPr>
          <w:rFonts w:cstheme="minorHAnsi"/>
          <w:sz w:val="24"/>
          <w:szCs w:val="24"/>
        </w:rPr>
        <w:t>from a</w:t>
      </w:r>
      <w:r w:rsidR="003C3D97" w:rsidRPr="006F2C11">
        <w:rPr>
          <w:rFonts w:cstheme="minorHAnsi"/>
          <w:sz w:val="24"/>
          <w:szCs w:val="24"/>
        </w:rPr>
        <w:t xml:space="preserve"> house situated within the street. Their night comes to a conclusion when they meet with a taxi. The taxi driver exits his vehicle so that he could assess if the </w:t>
      </w:r>
      <w:r w:rsidR="008D68C9" w:rsidRPr="006F2C11">
        <w:rPr>
          <w:rFonts w:cstheme="minorHAnsi"/>
          <w:sz w:val="24"/>
          <w:szCs w:val="24"/>
        </w:rPr>
        <w:t>plaintiffs were</w:t>
      </w:r>
      <w:r w:rsidR="00267E94" w:rsidRPr="006F2C11">
        <w:rPr>
          <w:rFonts w:cstheme="minorHAnsi"/>
          <w:sz w:val="24"/>
          <w:szCs w:val="24"/>
        </w:rPr>
        <w:t xml:space="preserve"> in any form of trouble that he could assist but Damian Domino influences the driver to release his car keys onto the ground from where he picks them up, takes the vehicle, and drives away after verbally abusing the victim, Alex Jones.</w:t>
      </w:r>
      <w:r w:rsidR="00CB6DA8" w:rsidRPr="006F2C11">
        <w:rPr>
          <w:rFonts w:cstheme="minorHAnsi"/>
          <w:sz w:val="24"/>
          <w:szCs w:val="24"/>
        </w:rPr>
        <w:t xml:space="preserve"> The accomplice had been involved in the legal offenses both actively and passively because he does not participate in the final act of robbery with violence</w:t>
      </w:r>
      <w:r w:rsidR="005917C3">
        <w:rPr>
          <w:rFonts w:cstheme="minorHAnsi"/>
          <w:sz w:val="24"/>
          <w:szCs w:val="24"/>
          <w:vertAlign w:val="superscript"/>
        </w:rPr>
        <w:t>1</w:t>
      </w:r>
      <w:r w:rsidR="00CB6DA8" w:rsidRPr="006F2C11">
        <w:rPr>
          <w:rFonts w:cstheme="minorHAnsi"/>
          <w:sz w:val="24"/>
          <w:szCs w:val="24"/>
        </w:rPr>
        <w:t>.</w:t>
      </w:r>
    </w:p>
    <w:p w:rsidR="003907A1" w:rsidRPr="003907A1" w:rsidRDefault="003907A1" w:rsidP="003907A1">
      <w:pPr>
        <w:spacing w:line="360" w:lineRule="auto"/>
        <w:ind w:firstLine="720"/>
        <w:jc w:val="center"/>
        <w:rPr>
          <w:rFonts w:cstheme="minorHAnsi"/>
          <w:b/>
          <w:sz w:val="24"/>
          <w:szCs w:val="24"/>
        </w:rPr>
      </w:pPr>
      <w:r w:rsidRPr="003907A1">
        <w:rPr>
          <w:rFonts w:cstheme="minorHAnsi"/>
          <w:b/>
          <w:sz w:val="24"/>
          <w:szCs w:val="24"/>
        </w:rPr>
        <w:lastRenderedPageBreak/>
        <w:t>Robbery with Violence</w:t>
      </w:r>
    </w:p>
    <w:p w:rsidR="00C95FF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Concerning the law regarding robbery and violence, Damian Domino leans more toward being found guilty as the events that occurred during the act involved the physical confrontation of the taxi driver. He poked the taxi driver, which made Alex Jones drop the keys of his taxi which were taken from the ground by Damian Domino. He later proceeded to </w:t>
      </w:r>
      <w:r w:rsidR="0094767B" w:rsidRPr="006F2C11">
        <w:rPr>
          <w:rFonts w:cstheme="minorHAnsi"/>
          <w:sz w:val="24"/>
          <w:szCs w:val="24"/>
        </w:rPr>
        <w:t xml:space="preserve">enter the vehicle and is said to have </w:t>
      </w:r>
      <w:r w:rsidR="00265DC8" w:rsidRPr="006F2C11">
        <w:rPr>
          <w:rFonts w:cstheme="minorHAnsi"/>
          <w:sz w:val="24"/>
          <w:szCs w:val="24"/>
        </w:rPr>
        <w:t>driven</w:t>
      </w:r>
      <w:r w:rsidR="0094767B" w:rsidRPr="006F2C11">
        <w:rPr>
          <w:rFonts w:cstheme="minorHAnsi"/>
          <w:sz w:val="24"/>
          <w:szCs w:val="24"/>
        </w:rPr>
        <w:t xml:space="preserve"> off, and the whole time he had a knife in his back pocket.</w:t>
      </w:r>
      <w:r w:rsidR="00675712">
        <w:rPr>
          <w:rFonts w:cstheme="minorHAnsi"/>
          <w:sz w:val="24"/>
          <w:szCs w:val="24"/>
        </w:rPr>
        <w:t xml:space="preserve"> This is similar to Corcoran against Anderton (1980) where the defendantsclaimed that they did not overwhelm the victim</w:t>
      </w:r>
      <w:r w:rsidR="005917C3">
        <w:rPr>
          <w:rFonts w:cstheme="minorHAnsi"/>
          <w:sz w:val="24"/>
          <w:szCs w:val="24"/>
          <w:vertAlign w:val="superscript"/>
        </w:rPr>
        <w:t>2</w:t>
      </w:r>
      <w:r w:rsidR="00675712">
        <w:rPr>
          <w:rFonts w:cstheme="minorHAnsi"/>
          <w:sz w:val="24"/>
          <w:szCs w:val="24"/>
        </w:rPr>
        <w:t>.</w:t>
      </w:r>
      <w:r w:rsidR="0094767B" w:rsidRPr="006F2C11">
        <w:rPr>
          <w:rFonts w:cstheme="minorHAnsi"/>
          <w:sz w:val="24"/>
          <w:szCs w:val="24"/>
        </w:rPr>
        <w:t xml:space="preserve"> The incident was witnessed by Harry Heart but he was not involved in any of the doings perpetrated by the assailant</w:t>
      </w:r>
      <w:r w:rsidR="00265DC8" w:rsidRPr="006F2C11">
        <w:rPr>
          <w:rFonts w:cstheme="minorHAnsi"/>
          <w:sz w:val="24"/>
          <w:szCs w:val="24"/>
        </w:rPr>
        <w:t xml:space="preserve">. </w:t>
      </w:r>
      <w:r w:rsidR="002F5F83" w:rsidRPr="006F2C11">
        <w:rPr>
          <w:rFonts w:cstheme="minorHAnsi"/>
          <w:sz w:val="24"/>
          <w:szCs w:val="24"/>
        </w:rPr>
        <w:t>Following actus reus</w:t>
      </w:r>
      <w:r w:rsidR="00463731">
        <w:rPr>
          <w:rFonts w:cstheme="minorHAnsi"/>
          <w:sz w:val="24"/>
          <w:szCs w:val="24"/>
        </w:rPr>
        <w:t>, any</w:t>
      </w:r>
      <w:bookmarkStart w:id="0" w:name="_GoBack"/>
      <w:bookmarkEnd w:id="0"/>
      <w:r w:rsidR="00265DC8" w:rsidRPr="006F2C11">
        <w:rPr>
          <w:rFonts w:cstheme="minorHAnsi"/>
          <w:sz w:val="24"/>
          <w:szCs w:val="24"/>
        </w:rPr>
        <w:t xml:space="preserve"> possession of an object that has the potential of causing bodily harm to a person </w:t>
      </w:r>
      <w:r w:rsidR="000440BB" w:rsidRPr="006F2C11">
        <w:rPr>
          <w:rFonts w:cstheme="minorHAnsi"/>
          <w:sz w:val="24"/>
          <w:szCs w:val="24"/>
        </w:rPr>
        <w:t>during an act of theft incriminates a defendant if it is found out that the victim had pain or injuries inflicted on them. In this case, Alex Jones was pushed by the perpetrator of the crime before he proceeded to take his vehicle without his approval.</w:t>
      </w:r>
      <w:r w:rsidR="00F66914" w:rsidRPr="006F2C11">
        <w:rPr>
          <w:rFonts w:cstheme="minorHAnsi"/>
          <w:sz w:val="24"/>
          <w:szCs w:val="24"/>
        </w:rPr>
        <w:t xml:space="preserve"> In his appeal, Damian Domino did not know that what he did to the driver, the act of pushing, would injure the driver in any way as the motive of the minimal effort applied in pushing the driver was to get his keys. The vehicle would then be used in leaving the crime scene, it is also indicated that the assailant insulted the driver to stay away from him as he drove off without his accomplice</w:t>
      </w:r>
      <w:r w:rsidR="005917C3">
        <w:rPr>
          <w:rFonts w:cstheme="minorHAnsi"/>
          <w:sz w:val="24"/>
          <w:szCs w:val="24"/>
          <w:vertAlign w:val="superscript"/>
        </w:rPr>
        <w:t>3</w:t>
      </w:r>
      <w:r w:rsidR="00F66914"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Taking without Owner’s Approval</w:t>
      </w:r>
    </w:p>
    <w:p w:rsidR="000440BB" w:rsidRPr="006F2C11" w:rsidRDefault="000A0747" w:rsidP="006F2C11">
      <w:pPr>
        <w:spacing w:line="360" w:lineRule="auto"/>
        <w:ind w:firstLine="720"/>
        <w:jc w:val="both"/>
        <w:rPr>
          <w:rFonts w:cstheme="minorHAnsi"/>
          <w:sz w:val="24"/>
          <w:szCs w:val="24"/>
        </w:rPr>
      </w:pPr>
      <w:r w:rsidRPr="006F2C11">
        <w:rPr>
          <w:rFonts w:cstheme="minorHAnsi"/>
          <w:sz w:val="24"/>
          <w:szCs w:val="24"/>
        </w:rPr>
        <w:t>The law concerning taking without the owner's consent stipulates that if a person takes items legally owned by other people without their approval, they are charged with TWO</w:t>
      </w:r>
      <w:r w:rsidR="00A46B16" w:rsidRPr="006F2C11">
        <w:rPr>
          <w:rFonts w:cstheme="minorHAnsi"/>
          <w:sz w:val="24"/>
          <w:szCs w:val="24"/>
        </w:rPr>
        <w:t xml:space="preserve">C. The law was created to address the cases that involved the unconsented acquisition of vehicles or </w:t>
      </w:r>
      <w:r w:rsidR="00A46B16" w:rsidRPr="006F2C11">
        <w:rPr>
          <w:rFonts w:cstheme="minorHAnsi"/>
          <w:sz w:val="24"/>
          <w:szCs w:val="24"/>
        </w:rPr>
        <w:lastRenderedPageBreak/>
        <w:t>any form of transportation, and later leaving them after they have served their short-term service of fleeing from a crime scene</w:t>
      </w:r>
      <w:r w:rsidR="005917C3">
        <w:rPr>
          <w:rFonts w:cstheme="minorHAnsi"/>
          <w:sz w:val="24"/>
          <w:szCs w:val="24"/>
          <w:vertAlign w:val="superscript"/>
        </w:rPr>
        <w:t>4</w:t>
      </w:r>
      <w:r w:rsidR="00A46B16" w:rsidRPr="006F2C11">
        <w:rPr>
          <w:rFonts w:cstheme="minorHAnsi"/>
          <w:sz w:val="24"/>
          <w:szCs w:val="24"/>
        </w:rPr>
        <w:t>. The</w:t>
      </w:r>
      <w:r w:rsidR="00A711D0" w:rsidRPr="006F2C11">
        <w:rPr>
          <w:rFonts w:cstheme="minorHAnsi"/>
          <w:sz w:val="24"/>
          <w:szCs w:val="24"/>
        </w:rPr>
        <w:t>re is a</w:t>
      </w:r>
      <w:r w:rsidR="00A46B16" w:rsidRPr="006F2C11">
        <w:rPr>
          <w:rFonts w:cstheme="minorHAnsi"/>
          <w:sz w:val="24"/>
          <w:szCs w:val="24"/>
        </w:rPr>
        <w:t xml:space="preserve"> distinction between the law about the robbery with the </w:t>
      </w:r>
      <w:r w:rsidR="00695210" w:rsidRPr="006F2C11">
        <w:rPr>
          <w:rFonts w:cstheme="minorHAnsi"/>
          <w:sz w:val="24"/>
          <w:szCs w:val="24"/>
        </w:rPr>
        <w:t>intent</w:t>
      </w:r>
      <w:r w:rsidR="00A46B16" w:rsidRPr="006F2C11">
        <w:rPr>
          <w:rFonts w:cstheme="minorHAnsi"/>
          <w:sz w:val="24"/>
          <w:szCs w:val="24"/>
        </w:rPr>
        <w:t xml:space="preserve"> of retaining possession of an object and that which addresses illegally </w:t>
      </w:r>
      <w:r w:rsidR="00695210" w:rsidRPr="006F2C11">
        <w:rPr>
          <w:rFonts w:cstheme="minorHAnsi"/>
          <w:sz w:val="24"/>
          <w:szCs w:val="24"/>
        </w:rPr>
        <w:t>acquiring an</w:t>
      </w:r>
      <w:r w:rsidR="00A46B16" w:rsidRPr="006F2C11">
        <w:rPr>
          <w:rFonts w:cstheme="minorHAnsi"/>
          <w:sz w:val="24"/>
          <w:szCs w:val="24"/>
        </w:rPr>
        <w:t xml:space="preserve"> object owned by another person but for short ter</w:t>
      </w:r>
      <w:r w:rsidR="00695210" w:rsidRPr="006F2C11">
        <w:rPr>
          <w:rFonts w:cstheme="minorHAnsi"/>
          <w:sz w:val="24"/>
          <w:szCs w:val="24"/>
        </w:rPr>
        <w:t>m use, which means that they were</w:t>
      </w:r>
      <w:r w:rsidR="00A46B16" w:rsidRPr="006F2C11">
        <w:rPr>
          <w:rFonts w:cstheme="minorHAnsi"/>
          <w:sz w:val="24"/>
          <w:szCs w:val="24"/>
        </w:rPr>
        <w:t xml:space="preserve"> borrowing the item</w:t>
      </w:r>
      <w:r w:rsidR="00695210" w:rsidRPr="006F2C11">
        <w:rPr>
          <w:rFonts w:cstheme="minorHAnsi"/>
          <w:sz w:val="24"/>
          <w:szCs w:val="24"/>
        </w:rPr>
        <w:t xml:space="preserve"> from their perspective and were in no way intending to cause harm to the </w:t>
      </w:r>
      <w:r w:rsidR="00672DF5" w:rsidRPr="006F2C11">
        <w:rPr>
          <w:rFonts w:cstheme="minorHAnsi"/>
          <w:sz w:val="24"/>
          <w:szCs w:val="24"/>
        </w:rPr>
        <w:t>plaintiff</w:t>
      </w:r>
      <w:r w:rsidR="00A46B16" w:rsidRPr="006F2C11">
        <w:rPr>
          <w:rFonts w:cstheme="minorHAnsi"/>
          <w:sz w:val="24"/>
          <w:szCs w:val="24"/>
        </w:rPr>
        <w:t xml:space="preserve">. Such situations are considered as </w:t>
      </w:r>
      <w:r w:rsidR="00695210" w:rsidRPr="006F2C11">
        <w:rPr>
          <w:rFonts w:cstheme="minorHAnsi"/>
          <w:sz w:val="24"/>
          <w:szCs w:val="24"/>
        </w:rPr>
        <w:t>non-offensive</w:t>
      </w:r>
      <w:r w:rsidR="00A46B16" w:rsidRPr="006F2C11">
        <w:rPr>
          <w:rFonts w:cstheme="minorHAnsi"/>
          <w:sz w:val="24"/>
          <w:szCs w:val="24"/>
        </w:rPr>
        <w:t xml:space="preserve"> only if the accused did the action to perform another positive act that was of much </w:t>
      </w:r>
      <w:r w:rsidR="0026516B" w:rsidRPr="006F2C11">
        <w:rPr>
          <w:rFonts w:cstheme="minorHAnsi"/>
          <w:sz w:val="24"/>
          <w:szCs w:val="24"/>
        </w:rPr>
        <w:t>importance, such as those that involve human rights if the perpetrator was, for instance trying to make sure an emergency patient</w:t>
      </w:r>
      <w:r w:rsidR="00695210" w:rsidRPr="006F2C11">
        <w:rPr>
          <w:rFonts w:cstheme="minorHAnsi"/>
          <w:sz w:val="24"/>
          <w:szCs w:val="24"/>
        </w:rPr>
        <w:t xml:space="preserve"> is gotten</w:t>
      </w:r>
      <w:r w:rsidR="0026516B" w:rsidRPr="006F2C11">
        <w:rPr>
          <w:rFonts w:cstheme="minorHAnsi"/>
          <w:sz w:val="24"/>
          <w:szCs w:val="24"/>
        </w:rPr>
        <w:t xml:space="preserve"> to the hospital</w:t>
      </w:r>
      <w:r w:rsidR="00695210" w:rsidRPr="006F2C11">
        <w:rPr>
          <w:rFonts w:cstheme="minorHAnsi"/>
          <w:sz w:val="24"/>
          <w:szCs w:val="24"/>
        </w:rPr>
        <w:t>. This may be possible due to the late response of the parties responsible for emergency medical situations</w:t>
      </w:r>
      <w:r w:rsidR="005917C3">
        <w:rPr>
          <w:rFonts w:cstheme="minorHAnsi"/>
          <w:sz w:val="24"/>
          <w:szCs w:val="24"/>
          <w:vertAlign w:val="superscript"/>
        </w:rPr>
        <w:t>5</w:t>
      </w:r>
      <w:r w:rsidR="00695210"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Recidivism and Precedence</w:t>
      </w:r>
    </w:p>
    <w:p w:rsidR="00585E73"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Damian Domino and Harry Heart are </w:t>
      </w:r>
      <w:r w:rsidR="00BC5650" w:rsidRPr="006F2C11">
        <w:rPr>
          <w:rFonts w:cstheme="minorHAnsi"/>
          <w:sz w:val="24"/>
          <w:szCs w:val="24"/>
        </w:rPr>
        <w:t>liable</w:t>
      </w:r>
      <w:r w:rsidRPr="006F2C11">
        <w:rPr>
          <w:rFonts w:cstheme="minorHAnsi"/>
          <w:sz w:val="24"/>
          <w:szCs w:val="24"/>
        </w:rPr>
        <w:t xml:space="preserve"> for being charged for theft </w:t>
      </w:r>
      <w:r w:rsidR="003A4B0D" w:rsidRPr="006F2C11">
        <w:rPr>
          <w:rFonts w:cstheme="minorHAnsi"/>
          <w:sz w:val="24"/>
          <w:szCs w:val="24"/>
        </w:rPr>
        <w:t xml:space="preserve">under the law that governs recidivism, </w:t>
      </w:r>
      <w:r w:rsidRPr="006F2C11">
        <w:rPr>
          <w:rFonts w:cstheme="minorHAnsi"/>
          <w:sz w:val="24"/>
          <w:szCs w:val="24"/>
        </w:rPr>
        <w:t>which involved the illegal acquisition of a radio from a trash can, jewelry, and a public service vehicle</w:t>
      </w:r>
      <w:r w:rsidR="003A4B0D" w:rsidRPr="006F2C11">
        <w:rPr>
          <w:rFonts w:cstheme="minorHAnsi"/>
          <w:sz w:val="24"/>
          <w:szCs w:val="24"/>
        </w:rPr>
        <w:t xml:space="preserve"> during the same night and sequentially as per the time variation</w:t>
      </w:r>
      <w:r w:rsidR="005917C3">
        <w:rPr>
          <w:rFonts w:cstheme="minorHAnsi"/>
          <w:sz w:val="24"/>
          <w:szCs w:val="24"/>
          <w:vertAlign w:val="superscript"/>
        </w:rPr>
        <w:t>6</w:t>
      </w:r>
      <w:r w:rsidRPr="006F2C11">
        <w:rPr>
          <w:rFonts w:cstheme="minorHAnsi"/>
          <w:sz w:val="24"/>
          <w:szCs w:val="24"/>
        </w:rPr>
        <w:t xml:space="preserve">.The existence of surveillance footage that incriminates Damian Domino and associates him directly with the crime makes it harder for him to deny the charges against him, more so, the charges that are concerned with the </w:t>
      </w:r>
      <w:r w:rsidR="003A4B0D" w:rsidRPr="006F2C11">
        <w:rPr>
          <w:rFonts w:cstheme="minorHAnsi"/>
          <w:sz w:val="24"/>
          <w:szCs w:val="24"/>
        </w:rPr>
        <w:t>acts of theft that followed the initial act. He is to be charged under the law that governs recidivism, which states that a person who had committed a crime in the past, or a serial committer of crime is most likely to repeat the offense if they are suspected to have done it again. In such cases precedence has a substantial impact on the direction th</w:t>
      </w:r>
      <w:r w:rsidR="005917C3">
        <w:rPr>
          <w:rFonts w:cstheme="minorHAnsi"/>
          <w:sz w:val="24"/>
          <w:szCs w:val="24"/>
        </w:rPr>
        <w:t xml:space="preserve">at the final verdict will go so </w:t>
      </w:r>
      <w:r w:rsidR="003A4B0D" w:rsidRPr="006F2C11">
        <w:rPr>
          <w:rFonts w:cstheme="minorHAnsi"/>
          <w:sz w:val="24"/>
          <w:szCs w:val="24"/>
        </w:rPr>
        <w:t xml:space="preserve">any minimal proof that links the </w:t>
      </w:r>
      <w:r w:rsidR="003A4B0D" w:rsidRPr="006F2C11">
        <w:rPr>
          <w:rFonts w:cstheme="minorHAnsi"/>
          <w:sz w:val="24"/>
          <w:szCs w:val="24"/>
        </w:rPr>
        <w:lastRenderedPageBreak/>
        <w:t>defendant to the crime is maximized in terms of magnitude to the case., therefore, because he was caught on a surveillance system committing the crime similar to the one involved with 16 Routledge Street, that was reported immediately after the 20 Routledge Street incident then it makes him the most probable perpetrator of the crime.</w:t>
      </w:r>
      <w:r w:rsidRPr="006F2C11">
        <w:rPr>
          <w:rFonts w:cstheme="minorHAnsi"/>
          <w:sz w:val="24"/>
          <w:szCs w:val="24"/>
        </w:rPr>
        <w:t xml:space="preserve">Under the law of recidivism, Damian Domino is </w:t>
      </w:r>
      <w:r w:rsidR="00BC5650" w:rsidRPr="006F2C11">
        <w:rPr>
          <w:rFonts w:cstheme="minorHAnsi"/>
          <w:sz w:val="24"/>
          <w:szCs w:val="24"/>
        </w:rPr>
        <w:t>liable</w:t>
      </w:r>
      <w:r w:rsidRPr="006F2C11">
        <w:rPr>
          <w:rFonts w:cstheme="minorHAnsi"/>
          <w:sz w:val="24"/>
          <w:szCs w:val="24"/>
        </w:rPr>
        <w:t xml:space="preserve"> for burglary charges due to his initialattempt to break into an empty house that was caught on the surveillance systems attached to the property associated with the attempted crime on 20 Routledge Street.</w:t>
      </w:r>
      <w:r w:rsidR="00E006FA" w:rsidRPr="006F2C11">
        <w:rPr>
          <w:rFonts w:cstheme="minorHAnsi"/>
          <w:sz w:val="24"/>
          <w:szCs w:val="24"/>
        </w:rPr>
        <w:t xml:space="preserve">Harry Heart is also going to be tried concerning his involvement in the first crime incident, as the possible accomplice to all the crimes that followed the first one, including the one that involved the robbery of a taxi despite not being a part of the act. </w:t>
      </w:r>
      <w:r w:rsidR="006F2C11" w:rsidRPr="006F2C11">
        <w:rPr>
          <w:rFonts w:cstheme="minorHAnsi"/>
          <w:sz w:val="24"/>
          <w:szCs w:val="24"/>
        </w:rPr>
        <w:t>He could have finished what he started but he chose to demur right after enabling a series of criminal offenses which increases the jury’s probability of associating him with th</w:t>
      </w:r>
      <w:r w:rsidR="006F2C11">
        <w:rPr>
          <w:rFonts w:cstheme="minorHAnsi"/>
          <w:sz w:val="24"/>
          <w:szCs w:val="24"/>
        </w:rPr>
        <w:t>e final crime since there exists</w:t>
      </w:r>
      <w:r w:rsidR="006F2C11" w:rsidRPr="006F2C11">
        <w:rPr>
          <w:rFonts w:cstheme="minorHAnsi"/>
          <w:sz w:val="24"/>
          <w:szCs w:val="24"/>
        </w:rPr>
        <w:t xml:space="preserve"> no viable cause of conflict between the two crime partners</w:t>
      </w:r>
      <w:r w:rsidR="005917C3">
        <w:rPr>
          <w:rFonts w:cstheme="minorHAnsi"/>
          <w:sz w:val="24"/>
          <w:szCs w:val="24"/>
          <w:vertAlign w:val="superscript"/>
        </w:rPr>
        <w:t>7</w:t>
      </w:r>
      <w:r w:rsidR="006F2C11" w:rsidRPr="006F2C11">
        <w:rPr>
          <w:rFonts w:cstheme="minorHAnsi"/>
          <w:sz w:val="24"/>
          <w:szCs w:val="24"/>
        </w:rPr>
        <w:t>.</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Protection of Property against Unauthorized Access</w:t>
      </w:r>
    </w:p>
    <w:p w:rsidR="00BC5650"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Owner’s rights that protect their property from external acts of force </w:t>
      </w:r>
      <w:r w:rsidR="00752374" w:rsidRPr="006F2C11">
        <w:rPr>
          <w:rFonts w:cstheme="minorHAnsi"/>
          <w:sz w:val="24"/>
          <w:szCs w:val="24"/>
        </w:rPr>
        <w:t>that would damage them were violated by Damian Domino and Harry Heart on several accounts while they were in the process of breaking into people's residences along 20 Routledge Street and 16 Routledge Street. In the initial incident, Damian Domino attempts to break the property on 20 Routledge Street through the window while he was being monitored by the surveillance system linked to the building</w:t>
      </w:r>
      <w:r w:rsidR="005917C3">
        <w:rPr>
          <w:rFonts w:cstheme="minorHAnsi"/>
          <w:sz w:val="24"/>
          <w:szCs w:val="24"/>
          <w:vertAlign w:val="superscript"/>
        </w:rPr>
        <w:t>8</w:t>
      </w:r>
      <w:r w:rsidR="00752374" w:rsidRPr="006F2C11">
        <w:rPr>
          <w:rFonts w:cstheme="minorHAnsi"/>
          <w:sz w:val="24"/>
          <w:szCs w:val="24"/>
        </w:rPr>
        <w:t xml:space="preserve">. His appeal might be that he did not have the intention of stealing anything from the property, but the only way he could get acquitted was if he was closely </w:t>
      </w:r>
      <w:r w:rsidR="00752374" w:rsidRPr="006F2C11">
        <w:rPr>
          <w:rFonts w:cstheme="minorHAnsi"/>
          <w:sz w:val="24"/>
          <w:szCs w:val="24"/>
        </w:rPr>
        <w:lastRenderedPageBreak/>
        <w:t>related or acquainted with the legal owner</w:t>
      </w:r>
      <w:r w:rsidR="00F338AE" w:rsidRPr="006F2C11">
        <w:rPr>
          <w:rFonts w:cstheme="minorHAnsi"/>
          <w:sz w:val="24"/>
          <w:szCs w:val="24"/>
        </w:rPr>
        <w:t xml:space="preserve"> of the building, otherwise, he is responsible for the interference of the state of another person’s property.</w:t>
      </w:r>
      <w:r w:rsidR="00FC352A">
        <w:rPr>
          <w:rFonts w:cstheme="minorHAnsi"/>
          <w:sz w:val="24"/>
          <w:szCs w:val="24"/>
        </w:rPr>
        <w:t xml:space="preserve"> In the Jaggard vs Dickson case (1981) the defendant claims they broke into the plaintiff’s property due to their error caused by drunkenness</w:t>
      </w:r>
      <w:r w:rsidR="00815F71">
        <w:rPr>
          <w:rFonts w:cstheme="minorHAnsi"/>
          <w:sz w:val="24"/>
          <w:szCs w:val="24"/>
        </w:rPr>
        <w:t xml:space="preserve"> that made them have trouble finding the right building, which could also be the appeal of Damian Domino as he did not complete his break in he could argue that it happened because he noticed his mistake early enough</w:t>
      </w:r>
      <w:r w:rsidR="005917C3">
        <w:rPr>
          <w:rFonts w:cstheme="minorHAnsi"/>
          <w:sz w:val="24"/>
          <w:szCs w:val="24"/>
          <w:vertAlign w:val="superscript"/>
        </w:rPr>
        <w:t>9</w:t>
      </w:r>
      <w:r w:rsidR="00FC352A">
        <w:rPr>
          <w:rFonts w:cstheme="minorHAnsi"/>
          <w:sz w:val="24"/>
          <w:szCs w:val="24"/>
        </w:rPr>
        <w:t>.</w:t>
      </w:r>
      <w:r w:rsidR="00F338AE" w:rsidRPr="006F2C11">
        <w:rPr>
          <w:rFonts w:cstheme="minorHAnsi"/>
          <w:sz w:val="24"/>
          <w:szCs w:val="24"/>
        </w:rPr>
        <w:t xml:space="preserve"> Damian is also charged for interfering with the registration plate of the vehicle belonging to Alex Jones, a taxi driver who offered his assistance to the defendants in case they were in a bad situation</w:t>
      </w:r>
      <w:r w:rsidR="00326849" w:rsidRPr="006F2C11">
        <w:rPr>
          <w:rFonts w:cstheme="minorHAnsi"/>
          <w:sz w:val="24"/>
          <w:szCs w:val="24"/>
        </w:rPr>
        <w:t>. The registration plate of the vehicle is discovered to be slightly interfered with, and the fingerprints of Damian Domino are found on the plate after he was apprehended by a police officer under the charge of reckless driving,</w:t>
      </w:r>
      <w:r w:rsidR="00B522B1" w:rsidRPr="006F2C11">
        <w:rPr>
          <w:rFonts w:cstheme="minorHAnsi"/>
          <w:sz w:val="24"/>
          <w:szCs w:val="24"/>
        </w:rPr>
        <w:t xml:space="preserve"> another act that possessed the potential to cause damage on people’s property if the police officer was not involved.</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Association as an Offence</w:t>
      </w:r>
    </w:p>
    <w:p w:rsidR="00EB4778" w:rsidRPr="006F2C11" w:rsidRDefault="000A0747" w:rsidP="006F2C11">
      <w:pPr>
        <w:spacing w:line="360" w:lineRule="auto"/>
        <w:ind w:firstLine="720"/>
        <w:jc w:val="both"/>
        <w:rPr>
          <w:rFonts w:cstheme="minorHAnsi"/>
          <w:sz w:val="24"/>
          <w:szCs w:val="24"/>
        </w:rPr>
      </w:pPr>
      <w:r w:rsidRPr="006F2C11">
        <w:rPr>
          <w:rFonts w:cstheme="minorHAnsi"/>
          <w:sz w:val="24"/>
          <w:szCs w:val="24"/>
        </w:rPr>
        <w:t>According to the law regarding the association in the act of a crime, Harry Heart is to be charged with the offense of being an accomplice in a crime-related act that was headlined by Damian Domino, who was the main perpetrator</w:t>
      </w:r>
      <w:r w:rsidR="005917C3">
        <w:rPr>
          <w:rFonts w:cstheme="minorHAnsi"/>
          <w:sz w:val="24"/>
          <w:szCs w:val="24"/>
          <w:vertAlign w:val="superscript"/>
        </w:rPr>
        <w:t>10</w:t>
      </w:r>
      <w:r w:rsidRPr="006F2C11">
        <w:rPr>
          <w:rFonts w:cstheme="minorHAnsi"/>
          <w:sz w:val="24"/>
          <w:szCs w:val="24"/>
        </w:rPr>
        <w:t xml:space="preserve">. Harry Heart's involvement in the nefarious acts was as a watch out for possible witnesses or law enforcement officers who make him indirectly involved, but all the same, involved in the crimes because of facilitating it to ensure it was successful. It is stated that he prevented Damian Domino from getting caught at 16 Routledge Street by warning him of an incoming couple which forced the two to shift their attention toward 20 Routledge Street. An appeal can be made by Harry Heart to state his that </w:t>
      </w:r>
      <w:r w:rsidRPr="006F2C11">
        <w:rPr>
          <w:rFonts w:cstheme="minorHAnsi"/>
          <w:sz w:val="24"/>
          <w:szCs w:val="24"/>
        </w:rPr>
        <w:lastRenderedPageBreak/>
        <w:t xml:space="preserve">only involvement was as a </w:t>
      </w:r>
      <w:r w:rsidR="006F2C11" w:rsidRPr="006F2C11">
        <w:rPr>
          <w:rFonts w:cstheme="minorHAnsi"/>
          <w:sz w:val="24"/>
          <w:szCs w:val="24"/>
        </w:rPr>
        <w:t>witness</w:t>
      </w:r>
      <w:r w:rsidRPr="006F2C11">
        <w:rPr>
          <w:rFonts w:cstheme="minorHAnsi"/>
          <w:sz w:val="24"/>
          <w:szCs w:val="24"/>
        </w:rPr>
        <w:t xml:space="preserve"> and not part of the pilfering but the fact that he did not report any of the incidences when he witnessed them implies that he was part of the legal offenses.</w:t>
      </w:r>
    </w:p>
    <w:p w:rsidR="00B019DC" w:rsidRPr="00B019DC" w:rsidRDefault="00B019DC" w:rsidP="00B019DC">
      <w:pPr>
        <w:spacing w:line="360" w:lineRule="auto"/>
        <w:ind w:firstLine="720"/>
        <w:jc w:val="center"/>
        <w:rPr>
          <w:rFonts w:cstheme="minorHAnsi"/>
          <w:b/>
          <w:sz w:val="24"/>
          <w:szCs w:val="24"/>
        </w:rPr>
      </w:pPr>
      <w:r w:rsidRPr="00B019DC">
        <w:rPr>
          <w:rFonts w:cstheme="minorHAnsi"/>
          <w:b/>
          <w:sz w:val="24"/>
          <w:szCs w:val="24"/>
        </w:rPr>
        <w:t>Right to Privacy</w:t>
      </w:r>
    </w:p>
    <w:p w:rsidR="006F2C11" w:rsidRPr="006F2C11" w:rsidRDefault="000A0747" w:rsidP="00383A0D">
      <w:pPr>
        <w:spacing w:line="360" w:lineRule="auto"/>
        <w:ind w:firstLine="720"/>
        <w:jc w:val="both"/>
        <w:rPr>
          <w:rFonts w:cstheme="minorHAnsi"/>
          <w:sz w:val="24"/>
          <w:szCs w:val="24"/>
        </w:rPr>
      </w:pPr>
      <w:r w:rsidRPr="006F2C11">
        <w:rPr>
          <w:rFonts w:cstheme="minorHAnsi"/>
          <w:sz w:val="24"/>
          <w:szCs w:val="24"/>
        </w:rPr>
        <w:t>The Trespass act states that anyone who, without the owner's consent, enters into a building while the owner is present or not has violated the owner's right to privacy and the trespass act</w:t>
      </w:r>
      <w:r w:rsidR="005917C3">
        <w:rPr>
          <w:rFonts w:cstheme="minorHAnsi"/>
          <w:sz w:val="24"/>
          <w:szCs w:val="24"/>
          <w:vertAlign w:val="superscript"/>
        </w:rPr>
        <w:t>11</w:t>
      </w:r>
      <w:r w:rsidRPr="006F2C11">
        <w:rPr>
          <w:rFonts w:cstheme="minorHAnsi"/>
          <w:sz w:val="24"/>
          <w:szCs w:val="24"/>
        </w:rPr>
        <w:t xml:space="preserve">. Damian Domino is guilty of the offense which was recorded by a surveillance system. He tries to force himself into a house along 20 Routledge Street but was unable;however,despite not making it through he initiated the crime which makes him liable to the charges.He also takes a radio from a trash can outside the premises which also makes him guilty of trespassing as he was within the confines of the building while committing the crime His appeal would be that he was outside the premises and that the object he picked up was in the trash bin which is used for the disposal of unwanted items. His second act would find him guilty of trespassing without a doubt because he entered the premises of someone else and stole the jeweler that was present in the drawer inside the bedroom, an interior section of the house. An appeal would only be made if he entered the first room whereby he would argue that he was attempting to reach the owners although it would still be a light argument. The fact that he was able to get away with the jeweler theft directly pins him to the location. The charges against trespassing would not be viable because one, he was caught on camera by a surveillance system, and he got arrested while carelessly driving the vehicle that uses as the </w:t>
      </w:r>
      <w:r w:rsidRPr="006F2C11">
        <w:rPr>
          <w:rFonts w:cstheme="minorHAnsi"/>
          <w:sz w:val="24"/>
          <w:szCs w:val="24"/>
        </w:rPr>
        <w:lastRenderedPageBreak/>
        <w:t>escape vehicle. He was stopped by a police officer for reckless driving and was found in possession of the two sets of evidence which, therefore, links him to crime.</w:t>
      </w:r>
    </w:p>
    <w:p w:rsidR="004B6A21" w:rsidRPr="004B6A21" w:rsidRDefault="004B6A21" w:rsidP="004B6A21">
      <w:pPr>
        <w:spacing w:line="360" w:lineRule="auto"/>
        <w:ind w:firstLine="720"/>
        <w:jc w:val="center"/>
        <w:rPr>
          <w:rFonts w:cstheme="minorHAnsi"/>
          <w:b/>
          <w:sz w:val="24"/>
          <w:szCs w:val="24"/>
        </w:rPr>
      </w:pPr>
      <w:r w:rsidRPr="004B6A21">
        <w:rPr>
          <w:rFonts w:cstheme="minorHAnsi"/>
          <w:b/>
          <w:sz w:val="24"/>
          <w:szCs w:val="24"/>
        </w:rPr>
        <w:t>Breaking and Entering Crimes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Harry Heart is als</w:t>
      </w:r>
      <w:r w:rsidR="00383A0D">
        <w:rPr>
          <w:rFonts w:cstheme="minorHAnsi"/>
          <w:sz w:val="24"/>
          <w:szCs w:val="24"/>
        </w:rPr>
        <w:t>o liable for the charge of burglary</w:t>
      </w:r>
      <w:r w:rsidRPr="006F2C11">
        <w:rPr>
          <w:rFonts w:cstheme="minorHAnsi"/>
          <w:sz w:val="24"/>
          <w:szCs w:val="24"/>
        </w:rPr>
        <w:t>. His hand in the criminal offense was impactful for the successful execution of the acts,therefore,he would be considered equally guilty for illegally stealing or actively participating in the crime despite not being physically connected</w:t>
      </w:r>
      <w:r w:rsidR="005917C3">
        <w:rPr>
          <w:rFonts w:cstheme="minorHAnsi"/>
          <w:sz w:val="24"/>
          <w:szCs w:val="24"/>
          <w:vertAlign w:val="superscript"/>
        </w:rPr>
        <w:t>12</w:t>
      </w:r>
      <w:r w:rsidRPr="006F2C11">
        <w:rPr>
          <w:rFonts w:cstheme="minorHAnsi"/>
          <w:sz w:val="24"/>
          <w:szCs w:val="24"/>
        </w:rPr>
        <w:t xml:space="preserve">. He is to be charged for two accounts of theft that involve the first three consecutive attempts that have one failed attempt, which was of the house on 20 Routledge Street. Harry Heart is more at an advantage of beating the case than his </w:t>
      </w:r>
      <w:r>
        <w:rPr>
          <w:rFonts w:cstheme="minorHAnsi"/>
          <w:sz w:val="24"/>
          <w:szCs w:val="24"/>
        </w:rPr>
        <w:t>accomplice, and</w:t>
      </w:r>
      <w:r w:rsidRPr="006F2C11">
        <w:rPr>
          <w:rFonts w:cstheme="minorHAnsi"/>
          <w:sz w:val="24"/>
          <w:szCs w:val="24"/>
        </w:rPr>
        <w:t xml:space="preserve"> this is because there is no forensic proof that ties him to any of the crime scenes. He willhowever be charged for not reporting a criminal activity that he had witnessed. The appeal would include the fact that the two were well acquainted, and that the actions of Damian Domino were in no way influenced by him, which would have been viable but he retained the company of Damian throughout the night until they got to the disagreement they concluded their night.</w:t>
      </w:r>
    </w:p>
    <w:p w:rsidR="00231198" w:rsidRPr="00231198" w:rsidRDefault="00231198" w:rsidP="00231198">
      <w:pPr>
        <w:spacing w:line="360" w:lineRule="auto"/>
        <w:ind w:firstLine="720"/>
        <w:jc w:val="center"/>
        <w:rPr>
          <w:rFonts w:cstheme="minorHAnsi"/>
          <w:b/>
          <w:sz w:val="24"/>
          <w:szCs w:val="24"/>
        </w:rPr>
      </w:pPr>
      <w:r w:rsidRPr="00231198">
        <w:rPr>
          <w:rFonts w:cstheme="minorHAnsi"/>
          <w:b/>
          <w:sz w:val="24"/>
          <w:szCs w:val="24"/>
        </w:rPr>
        <w:t>Reckless Driving</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 xml:space="preserve"> Damian Domino faces the charge of careless driving after he stole a taxi from Alex Jones.He is caught by a law </w:t>
      </w:r>
      <w:r>
        <w:rPr>
          <w:rFonts w:cstheme="minorHAnsi"/>
          <w:sz w:val="24"/>
          <w:szCs w:val="24"/>
        </w:rPr>
        <w:t xml:space="preserve">enforcement officer and </w:t>
      </w:r>
      <w:r w:rsidRPr="006F2C11">
        <w:rPr>
          <w:rFonts w:cstheme="minorHAnsi"/>
          <w:sz w:val="24"/>
          <w:szCs w:val="24"/>
        </w:rPr>
        <w:t>charged for breaking the rules and regulations that govern the conduct of motor vehicle owners and how they are expected to use their vehicle to simpl</w:t>
      </w:r>
      <w:r>
        <w:rPr>
          <w:rFonts w:cstheme="minorHAnsi"/>
          <w:sz w:val="24"/>
          <w:szCs w:val="24"/>
        </w:rPr>
        <w:t>y go and get some basic paper.</w:t>
      </w:r>
      <w:r w:rsidRPr="006F2C11">
        <w:rPr>
          <w:rFonts w:cstheme="minorHAnsi"/>
          <w:sz w:val="24"/>
          <w:szCs w:val="24"/>
        </w:rPr>
        <w:t xml:space="preserve"> Careless driving is considered as an act of jeopardizing the physical health of the passengers of the vehicle, and other motorists on the </w:t>
      </w:r>
      <w:r w:rsidRPr="006F2C11">
        <w:rPr>
          <w:rFonts w:cstheme="minorHAnsi"/>
          <w:sz w:val="24"/>
          <w:szCs w:val="24"/>
        </w:rPr>
        <w:lastRenderedPageBreak/>
        <w:t>road. The chances of a vehicle getting into an accident and causing the inevitable death and injuries of others increase the influence of the charges but in this context, Harry Heart was unable to complete the crime spree by leaving Damian Domino to go alone in the vehicle, who later proceeded on to break the laws regulating vehicle used on public roads.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acquisition of most of the objects that he was caught with after being brought in by the police officer, places him in a position where his guilt of theft is inevitable as none of the items were registered to his legal personal information. He faces the charges of theft on two separate occasions that involved 2 different sets of stolen items.</w:t>
      </w:r>
    </w:p>
    <w:p w:rsidR="00E828DA" w:rsidRPr="00E828DA" w:rsidRDefault="00E828DA" w:rsidP="00E828DA">
      <w:pPr>
        <w:spacing w:line="360" w:lineRule="auto"/>
        <w:ind w:firstLine="720"/>
        <w:jc w:val="center"/>
        <w:rPr>
          <w:rFonts w:cstheme="minorHAnsi"/>
          <w:b/>
          <w:sz w:val="24"/>
          <w:szCs w:val="24"/>
        </w:rPr>
      </w:pPr>
      <w:r w:rsidRPr="00E828DA">
        <w:rPr>
          <w:rFonts w:cstheme="minorHAnsi"/>
          <w:b/>
          <w:sz w:val="24"/>
          <w:szCs w:val="24"/>
        </w:rPr>
        <w:t>Life Threatening Situations</w:t>
      </w:r>
    </w:p>
    <w:p w:rsidR="006F2C11" w:rsidRPr="006F2C11" w:rsidRDefault="000A0747" w:rsidP="006F2C11">
      <w:pPr>
        <w:spacing w:line="360" w:lineRule="auto"/>
        <w:ind w:firstLine="720"/>
        <w:jc w:val="both"/>
        <w:rPr>
          <w:rFonts w:cstheme="minorHAnsi"/>
          <w:sz w:val="24"/>
          <w:szCs w:val="24"/>
        </w:rPr>
      </w:pPr>
      <w:r w:rsidRPr="006F2C11">
        <w:rPr>
          <w:rFonts w:cstheme="minorHAnsi"/>
          <w:sz w:val="24"/>
          <w:szCs w:val="24"/>
        </w:rPr>
        <w:t>Damian Domino's possession of a knife in his back pocket after his encounter with the driver, Alex Jones, poses a threat to the outcome of the case because it puts him in a situation whereby the offense is of a higher degree of life-threatening violence. He did not withdraw the knife at the time of the crime but possessing it will be considered by the jury as his actions signified he was a threat to Alex Jones</w:t>
      </w:r>
      <w:r>
        <w:rPr>
          <w:rFonts w:cstheme="minorHAnsi"/>
          <w:sz w:val="24"/>
          <w:szCs w:val="24"/>
        </w:rPr>
        <w:t>, who</w:t>
      </w:r>
      <w:r w:rsidRPr="006F2C11">
        <w:rPr>
          <w:rFonts w:cstheme="minorHAnsi"/>
          <w:sz w:val="24"/>
          <w:szCs w:val="24"/>
        </w:rPr>
        <w:t xml:space="preserve"> was also the victim of a verbal assault by Damian Domino, which is also a violation of another person mentally. His chances of winning the case would lie on how the recipient of three accounts of assault, Alex Jones would testify against him depending on the image Damian Domino presented to him on the night of the robbery.</w:t>
      </w:r>
    </w:p>
    <w:p w:rsidR="006F2C11" w:rsidRDefault="000A0747" w:rsidP="006F2C11">
      <w:pPr>
        <w:spacing w:line="360" w:lineRule="auto"/>
        <w:ind w:firstLine="720"/>
        <w:jc w:val="both"/>
        <w:rPr>
          <w:rFonts w:cstheme="minorHAnsi"/>
          <w:sz w:val="24"/>
          <w:szCs w:val="24"/>
        </w:rPr>
      </w:pPr>
      <w:r w:rsidRPr="006F2C11">
        <w:rPr>
          <w:rFonts w:cstheme="minorHAnsi"/>
          <w:sz w:val="24"/>
          <w:szCs w:val="24"/>
        </w:rPr>
        <w:t>The act of stopping the taxi, owned by Alex Jones, but not to pay for his transport services is an act of pretense which falls under charges of fraud because during the time Damian Domino pretended to need the taxi which prompted the driver to emerge</w:t>
      </w:r>
      <w:r w:rsidR="005917C3">
        <w:rPr>
          <w:rFonts w:cstheme="minorHAnsi"/>
          <w:sz w:val="24"/>
          <w:szCs w:val="24"/>
          <w:vertAlign w:val="superscript"/>
        </w:rPr>
        <w:t>13</w:t>
      </w:r>
      <w:r w:rsidRPr="006F2C11">
        <w:rPr>
          <w:rFonts w:cstheme="minorHAnsi"/>
          <w:sz w:val="24"/>
          <w:szCs w:val="24"/>
        </w:rPr>
        <w:t xml:space="preserve">. Damian </w:t>
      </w:r>
      <w:r w:rsidRPr="006F2C11">
        <w:rPr>
          <w:rFonts w:cstheme="minorHAnsi"/>
          <w:sz w:val="24"/>
          <w:szCs w:val="24"/>
        </w:rPr>
        <w:lastRenderedPageBreak/>
        <w:t>Domino can argue that he was not responsib</w:t>
      </w:r>
      <w:r w:rsidR="00827F06">
        <w:rPr>
          <w:rFonts w:cstheme="minorHAnsi"/>
          <w:sz w:val="24"/>
          <w:szCs w:val="24"/>
        </w:rPr>
        <w:t xml:space="preserve">le for the taxi driver stops </w:t>
      </w:r>
      <w:r w:rsidRPr="006F2C11">
        <w:rPr>
          <w:rFonts w:cstheme="minorHAnsi"/>
          <w:sz w:val="24"/>
          <w:szCs w:val="24"/>
        </w:rPr>
        <w:t xml:space="preserve">and that it was his own decision to check up on him and his colleague but due to the context the jury might incline more toward </w:t>
      </w:r>
      <w:r w:rsidR="00827F06">
        <w:rPr>
          <w:rFonts w:cstheme="minorHAnsi"/>
          <w:sz w:val="24"/>
          <w:szCs w:val="24"/>
        </w:rPr>
        <w:t>ruling in favor of the</w:t>
      </w:r>
      <w:r w:rsidR="00B0503B">
        <w:rPr>
          <w:rFonts w:cstheme="minorHAnsi"/>
          <w:sz w:val="24"/>
          <w:szCs w:val="24"/>
        </w:rPr>
        <w:t xml:space="preserve"> driver due to his show of kindness.</w:t>
      </w:r>
    </w:p>
    <w:p w:rsidR="002A3264" w:rsidRDefault="000A0747" w:rsidP="002A3264">
      <w:pPr>
        <w:spacing w:line="360" w:lineRule="auto"/>
        <w:ind w:firstLine="720"/>
        <w:jc w:val="center"/>
        <w:rPr>
          <w:rFonts w:cstheme="minorHAnsi"/>
          <w:b/>
          <w:sz w:val="24"/>
          <w:szCs w:val="24"/>
        </w:rPr>
      </w:pPr>
      <w:r w:rsidRPr="002A3264">
        <w:rPr>
          <w:rFonts w:cstheme="minorHAnsi"/>
          <w:b/>
          <w:sz w:val="24"/>
          <w:szCs w:val="24"/>
        </w:rPr>
        <w:t>Conclusion</w:t>
      </w:r>
    </w:p>
    <w:p w:rsidR="002A3264" w:rsidRPr="002A3264" w:rsidRDefault="000A0747" w:rsidP="002A3264">
      <w:pPr>
        <w:spacing w:line="360" w:lineRule="auto"/>
        <w:ind w:firstLine="720"/>
        <w:rPr>
          <w:rFonts w:cstheme="minorHAnsi"/>
          <w:sz w:val="24"/>
          <w:szCs w:val="24"/>
        </w:rPr>
      </w:pPr>
      <w:r w:rsidRPr="002A3264">
        <w:rPr>
          <w:rFonts w:cstheme="minorHAnsi"/>
          <w:sz w:val="24"/>
          <w:szCs w:val="24"/>
        </w:rPr>
        <w:t>The</w:t>
      </w:r>
      <w:r>
        <w:rPr>
          <w:rFonts w:cstheme="minorHAnsi"/>
          <w:sz w:val="24"/>
          <w:szCs w:val="24"/>
        </w:rPr>
        <w:t xml:space="preserve"> defendants committed a series of crimes within the same night that have varying degrees and manner of jurisdiction. Their case consists of both loopholes and dead ends that make the case complicated because there has to exist a specific set of charges that will exhaust the case, therefore, coming to a final and fair jurisdiction.</w:t>
      </w:r>
    </w:p>
    <w:p w:rsidR="006F2C11" w:rsidRPr="006F2C11" w:rsidRDefault="006F2C11" w:rsidP="006F2C11">
      <w:pPr>
        <w:spacing w:line="360" w:lineRule="auto"/>
        <w:ind w:firstLine="720"/>
        <w:jc w:val="both"/>
        <w:rPr>
          <w:rFonts w:cstheme="minorHAnsi"/>
          <w:sz w:val="24"/>
          <w:szCs w:val="24"/>
        </w:rPr>
      </w:pPr>
    </w:p>
    <w:p w:rsidR="009C7804" w:rsidRPr="006F2C11" w:rsidRDefault="009C7804" w:rsidP="006F2C11">
      <w:pPr>
        <w:spacing w:line="360" w:lineRule="auto"/>
        <w:ind w:firstLine="720"/>
        <w:jc w:val="both"/>
        <w:rPr>
          <w:rFonts w:cstheme="minorHAnsi"/>
          <w:sz w:val="24"/>
          <w:szCs w:val="24"/>
        </w:rPr>
      </w:pPr>
    </w:p>
    <w:p w:rsidR="004C35DF" w:rsidRDefault="004C35DF" w:rsidP="004C35DF">
      <w:pPr>
        <w:spacing w:line="360" w:lineRule="auto"/>
        <w:ind w:firstLine="720"/>
        <w:jc w:val="center"/>
        <w:rPr>
          <w:rFonts w:cstheme="minorHAnsi"/>
          <w:b/>
          <w:sz w:val="24"/>
          <w:szCs w:val="24"/>
        </w:rPr>
      </w:pPr>
    </w:p>
    <w:p w:rsidR="004C35DF" w:rsidRDefault="004C35DF" w:rsidP="004C35DF">
      <w:pPr>
        <w:spacing w:line="360" w:lineRule="auto"/>
        <w:ind w:firstLine="720"/>
        <w:jc w:val="center"/>
        <w:rPr>
          <w:rFonts w:cstheme="minorHAnsi"/>
          <w:b/>
          <w:sz w:val="24"/>
          <w:szCs w:val="24"/>
        </w:rPr>
      </w:pPr>
    </w:p>
    <w:p w:rsidR="004C35DF" w:rsidRDefault="004C35DF" w:rsidP="004C35DF">
      <w:pPr>
        <w:spacing w:line="360" w:lineRule="auto"/>
        <w:ind w:firstLine="720"/>
        <w:jc w:val="center"/>
        <w:rPr>
          <w:rFonts w:cstheme="minorHAnsi"/>
          <w:b/>
          <w:sz w:val="24"/>
          <w:szCs w:val="24"/>
        </w:rPr>
      </w:pPr>
    </w:p>
    <w:p w:rsidR="00E828DA" w:rsidRDefault="00E828DA" w:rsidP="004C35DF">
      <w:pPr>
        <w:spacing w:line="360" w:lineRule="auto"/>
        <w:ind w:firstLine="720"/>
        <w:jc w:val="center"/>
        <w:rPr>
          <w:rFonts w:cstheme="minorHAnsi"/>
          <w:b/>
          <w:sz w:val="24"/>
          <w:szCs w:val="24"/>
        </w:rPr>
      </w:pPr>
    </w:p>
    <w:p w:rsidR="00E828DA" w:rsidRDefault="00E828DA" w:rsidP="004C35DF">
      <w:pPr>
        <w:spacing w:line="360" w:lineRule="auto"/>
        <w:ind w:firstLine="720"/>
        <w:jc w:val="center"/>
        <w:rPr>
          <w:rFonts w:cstheme="minorHAnsi"/>
          <w:b/>
          <w:sz w:val="24"/>
          <w:szCs w:val="24"/>
        </w:rPr>
      </w:pPr>
    </w:p>
    <w:p w:rsidR="00E828DA" w:rsidRDefault="00E828DA" w:rsidP="004C35DF">
      <w:pPr>
        <w:spacing w:line="360" w:lineRule="auto"/>
        <w:ind w:firstLine="720"/>
        <w:jc w:val="center"/>
        <w:rPr>
          <w:rFonts w:cstheme="minorHAnsi"/>
          <w:b/>
          <w:sz w:val="24"/>
          <w:szCs w:val="24"/>
        </w:rPr>
      </w:pPr>
    </w:p>
    <w:p w:rsidR="00E828DA" w:rsidRDefault="00E828DA" w:rsidP="004C35DF">
      <w:pPr>
        <w:spacing w:line="360" w:lineRule="auto"/>
        <w:ind w:firstLine="720"/>
        <w:jc w:val="center"/>
        <w:rPr>
          <w:rFonts w:cstheme="minorHAnsi"/>
          <w:b/>
          <w:sz w:val="24"/>
          <w:szCs w:val="24"/>
        </w:rPr>
      </w:pPr>
    </w:p>
    <w:p w:rsidR="00BC614F" w:rsidRDefault="000A0747" w:rsidP="004C35DF">
      <w:pPr>
        <w:spacing w:line="360" w:lineRule="auto"/>
        <w:ind w:firstLine="720"/>
        <w:jc w:val="center"/>
        <w:rPr>
          <w:rFonts w:cstheme="minorHAnsi"/>
          <w:b/>
          <w:sz w:val="24"/>
          <w:szCs w:val="24"/>
        </w:rPr>
      </w:pPr>
      <w:r w:rsidRPr="004C35DF">
        <w:rPr>
          <w:rFonts w:cstheme="minorHAnsi"/>
          <w:b/>
          <w:sz w:val="24"/>
          <w:szCs w:val="24"/>
        </w:rPr>
        <w:lastRenderedPageBreak/>
        <w:t>References</w:t>
      </w:r>
    </w:p>
    <w:p w:rsidR="004C35DF" w:rsidRPr="004C35DF" w:rsidRDefault="000A0747" w:rsidP="004C35DF">
      <w:pPr>
        <w:spacing w:line="360" w:lineRule="auto"/>
        <w:rPr>
          <w:rFonts w:cstheme="minorHAnsi"/>
          <w:sz w:val="24"/>
          <w:szCs w:val="24"/>
        </w:rPr>
      </w:pPr>
      <w:r>
        <w:rPr>
          <w:rFonts w:cstheme="minorHAnsi"/>
          <w:sz w:val="24"/>
          <w:szCs w:val="24"/>
        </w:rPr>
        <w:t>--</w:t>
      </w:r>
      <w:r w:rsidRPr="004C35DF">
        <w:rPr>
          <w:rFonts w:cstheme="minorHAnsi"/>
          <w:sz w:val="24"/>
          <w:szCs w:val="24"/>
        </w:rPr>
        <w:t xml:space="preserve">Robbery violence. (1987). </w:t>
      </w:r>
      <w:r w:rsidRPr="004C35DF">
        <w:rPr>
          <w:rFonts w:cstheme="minorHAnsi"/>
          <w:i/>
          <w:iCs/>
          <w:sz w:val="24"/>
          <w:szCs w:val="24"/>
        </w:rPr>
        <w:t>Robbery Violence</w:t>
      </w:r>
      <w:r w:rsidRPr="004C35DF">
        <w:rPr>
          <w:rFonts w:cstheme="minorHAnsi"/>
          <w:sz w:val="24"/>
          <w:szCs w:val="24"/>
        </w:rPr>
        <w:t xml:space="preserve">, 1–21. </w:t>
      </w:r>
    </w:p>
    <w:p w:rsidR="004C35DF" w:rsidRPr="004C35DF" w:rsidRDefault="000A0747" w:rsidP="004C35DF">
      <w:pPr>
        <w:spacing w:line="360" w:lineRule="auto"/>
        <w:rPr>
          <w:rFonts w:cstheme="minorHAnsi"/>
          <w:sz w:val="24"/>
          <w:szCs w:val="24"/>
        </w:rPr>
      </w:pPr>
      <w:r>
        <w:rPr>
          <w:rFonts w:cstheme="minorHAnsi"/>
          <w:bCs/>
          <w:i/>
          <w:iCs/>
          <w:sz w:val="24"/>
          <w:szCs w:val="24"/>
        </w:rPr>
        <w:t>--</w:t>
      </w:r>
      <w:r w:rsidRPr="004C35DF">
        <w:rPr>
          <w:rFonts w:cstheme="minorHAnsi"/>
          <w:bCs/>
          <w:i/>
          <w:iCs/>
          <w:sz w:val="24"/>
          <w:szCs w:val="24"/>
        </w:rPr>
        <w:t>Corcoran v Anderton</w:t>
      </w:r>
      <w:r w:rsidRPr="004C35DF">
        <w:rPr>
          <w:rFonts w:cstheme="minorHAnsi"/>
          <w:bCs/>
          <w:sz w:val="24"/>
          <w:szCs w:val="24"/>
        </w:rPr>
        <w:t> (1980) 71 Cr App R 104</w:t>
      </w:r>
      <w:r w:rsidRPr="004C35DF">
        <w:rPr>
          <w:rFonts w:cstheme="minorHAnsi"/>
          <w:sz w:val="24"/>
          <w:szCs w:val="24"/>
        </w:rPr>
        <w:t>https://scholarlycommons.law.northwestern.edu/cgi/viewcontent.cgi?article=6558&amp;context=jclc</w:t>
      </w:r>
    </w:p>
    <w:p w:rsidR="004C35DF" w:rsidRPr="004C35DF" w:rsidRDefault="000A0747" w:rsidP="004C35DF">
      <w:pPr>
        <w:spacing w:line="360" w:lineRule="auto"/>
        <w:rPr>
          <w:rFonts w:cstheme="minorHAnsi"/>
          <w:sz w:val="24"/>
          <w:szCs w:val="24"/>
        </w:rPr>
      </w:pPr>
      <w:r>
        <w:rPr>
          <w:rFonts w:cstheme="minorHAnsi"/>
          <w:i/>
          <w:iCs/>
          <w:sz w:val="24"/>
          <w:szCs w:val="24"/>
        </w:rPr>
        <w:t>--</w:t>
      </w:r>
      <w:r w:rsidRPr="004C35DF">
        <w:rPr>
          <w:rFonts w:cstheme="minorHAnsi"/>
          <w:i/>
          <w:iCs/>
          <w:sz w:val="24"/>
          <w:szCs w:val="24"/>
        </w:rPr>
        <w:t>Taking without owner’s consent</w:t>
      </w:r>
      <w:r>
        <w:rPr>
          <w:rFonts w:cstheme="minorHAnsi"/>
          <w:sz w:val="24"/>
          <w:szCs w:val="24"/>
        </w:rPr>
        <w:t xml:space="preserve">. (2018). Wiki Loves Africa. </w:t>
      </w:r>
      <w:hyperlink r:id="rId7" w:history="1">
        <w:r w:rsidRPr="004C35DF">
          <w:rPr>
            <w:rStyle w:val="Hyperlink"/>
            <w:rFonts w:cstheme="minorHAnsi"/>
            <w:sz w:val="24"/>
            <w:szCs w:val="24"/>
          </w:rPr>
          <w:t>https://en.wikipedia.org/wiki/Taking_without_owner%27s_consent</w:t>
        </w:r>
      </w:hyperlink>
    </w:p>
    <w:p w:rsidR="006127C6" w:rsidRDefault="000A0747" w:rsidP="004C35DF">
      <w:pPr>
        <w:spacing w:line="360" w:lineRule="auto"/>
        <w:rPr>
          <w:rFonts w:cstheme="minorHAnsi"/>
          <w:sz w:val="24"/>
          <w:szCs w:val="24"/>
          <w:vertAlign w:val="superscript"/>
        </w:rPr>
      </w:pPr>
      <w:r>
        <w:rPr>
          <w:rFonts w:cstheme="minorHAnsi"/>
          <w:i/>
          <w:iCs/>
          <w:sz w:val="24"/>
          <w:szCs w:val="24"/>
        </w:rPr>
        <w:t>--</w:t>
      </w:r>
      <w:r w:rsidRPr="004C35DF">
        <w:rPr>
          <w:rFonts w:cstheme="minorHAnsi"/>
          <w:i/>
          <w:iCs/>
          <w:sz w:val="24"/>
          <w:szCs w:val="24"/>
        </w:rPr>
        <w:t>social work degree guide</w:t>
      </w:r>
      <w:r w:rsidRPr="004C35DF">
        <w:rPr>
          <w:rFonts w:cstheme="minorHAnsi"/>
          <w:sz w:val="24"/>
          <w:szCs w:val="24"/>
        </w:rPr>
        <w:t xml:space="preserve">. (2021). Social Work Degree Guide.     </w:t>
      </w:r>
    </w:p>
    <w:p w:rsidR="006127C6" w:rsidRPr="004C35DF" w:rsidRDefault="000A0747" w:rsidP="006127C6">
      <w:pPr>
        <w:spacing w:line="360" w:lineRule="auto"/>
        <w:rPr>
          <w:rFonts w:cstheme="minorHAnsi"/>
          <w:sz w:val="24"/>
          <w:szCs w:val="24"/>
        </w:rPr>
      </w:pPr>
      <w:r>
        <w:rPr>
          <w:rFonts w:cstheme="minorHAnsi"/>
          <w:sz w:val="24"/>
          <w:szCs w:val="24"/>
          <w:vertAlign w:val="superscript"/>
        </w:rPr>
        <w:t>--</w:t>
      </w:r>
      <w:hyperlink r:id="rId8" w:history="1">
        <w:r w:rsidRPr="004C35DF">
          <w:rPr>
            <w:rStyle w:val="Hyperlink"/>
            <w:rFonts w:cstheme="minorHAnsi"/>
            <w:sz w:val="24"/>
            <w:szCs w:val="24"/>
          </w:rPr>
          <w:t>https://www.socialworkdegreeguide.com/faq/what-is-recidivism/</w:t>
        </w:r>
      </w:hyperlink>
    </w:p>
    <w:p w:rsidR="006127C6" w:rsidRPr="004C35DF" w:rsidRDefault="000A0747" w:rsidP="006127C6">
      <w:pPr>
        <w:spacing w:line="360" w:lineRule="auto"/>
        <w:rPr>
          <w:rFonts w:cstheme="minorHAnsi"/>
          <w:sz w:val="24"/>
          <w:szCs w:val="24"/>
        </w:rPr>
      </w:pPr>
      <w:r>
        <w:rPr>
          <w:rFonts w:cstheme="minorHAnsi"/>
          <w:sz w:val="24"/>
          <w:szCs w:val="24"/>
          <w:vertAlign w:val="superscript"/>
        </w:rPr>
        <w:t>--</w:t>
      </w:r>
      <w:r w:rsidRPr="004C35DF">
        <w:rPr>
          <w:rFonts w:cstheme="minorHAnsi"/>
          <w:sz w:val="24"/>
          <w:szCs w:val="24"/>
        </w:rPr>
        <w:t>Jaggard v Dickinson [1981] 1 QB 527</w:t>
      </w:r>
    </w:p>
    <w:p w:rsidR="006127C6" w:rsidRPr="006127C6" w:rsidRDefault="000A0747" w:rsidP="006127C6">
      <w:pPr>
        <w:spacing w:line="360" w:lineRule="auto"/>
        <w:rPr>
          <w:rFonts w:cstheme="minorHAnsi"/>
          <w:sz w:val="24"/>
          <w:szCs w:val="24"/>
        </w:rPr>
      </w:pPr>
      <w:r>
        <w:rPr>
          <w:rFonts w:cstheme="minorHAnsi"/>
          <w:sz w:val="24"/>
          <w:szCs w:val="24"/>
          <w:vertAlign w:val="superscript"/>
        </w:rPr>
        <w:t>--</w:t>
      </w:r>
      <w:r w:rsidRPr="004C35DF">
        <w:rPr>
          <w:rFonts w:cstheme="minorHAnsi"/>
          <w:i/>
          <w:iCs/>
          <w:sz w:val="24"/>
          <w:szCs w:val="24"/>
        </w:rPr>
        <w:t>criminal trespassing law</w:t>
      </w:r>
      <w:r w:rsidRPr="004C35DF">
        <w:rPr>
          <w:rFonts w:cstheme="minorHAnsi"/>
          <w:sz w:val="24"/>
          <w:szCs w:val="24"/>
        </w:rPr>
        <w:t xml:space="preserve">. (2021). Criminal Trespassing Law. </w:t>
      </w:r>
      <w:hyperlink r:id="rId9" w:history="1">
        <w:r w:rsidRPr="004C35DF">
          <w:rPr>
            <w:rStyle w:val="Hyperlink"/>
            <w:rFonts w:cstheme="minorHAnsi"/>
            <w:sz w:val="24"/>
            <w:szCs w:val="24"/>
          </w:rPr>
          <w:t>https://www.nolo.com/legal-encyclopedia/criminal-trespassing-law.html</w:t>
        </w:r>
      </w:hyperlink>
    </w:p>
    <w:p w:rsidR="006127C6" w:rsidRPr="006127C6" w:rsidRDefault="000A0747" w:rsidP="004C35DF">
      <w:pPr>
        <w:spacing w:line="360" w:lineRule="auto"/>
        <w:rPr>
          <w:rFonts w:cstheme="minorHAnsi"/>
          <w:sz w:val="24"/>
          <w:szCs w:val="24"/>
        </w:rPr>
      </w:pPr>
      <w:r w:rsidRPr="004C35DF">
        <w:rPr>
          <w:rFonts w:cstheme="minorHAnsi"/>
          <w:i/>
          <w:iCs/>
          <w:sz w:val="24"/>
          <w:szCs w:val="24"/>
        </w:rPr>
        <w:t>ownership rights in real property</w:t>
      </w:r>
      <w:r w:rsidRPr="004C35DF">
        <w:rPr>
          <w:rFonts w:cstheme="minorHAnsi"/>
          <w:sz w:val="24"/>
          <w:szCs w:val="24"/>
        </w:rPr>
        <w:t xml:space="preserve">. (2021). Legal Referral Service. </w:t>
      </w:r>
      <w:hyperlink r:id="rId10" w:history="1">
        <w:r w:rsidRPr="004C35DF">
          <w:rPr>
            <w:rStyle w:val="Hyperlink"/>
            <w:rFonts w:cstheme="minorHAnsi"/>
            <w:sz w:val="24"/>
            <w:szCs w:val="24"/>
          </w:rPr>
          <w:t>https://www.nycbar.org/get-legal-help/article/real-property-law/ownership-rights-in-real-property/</w:t>
        </w:r>
      </w:hyperlink>
    </w:p>
    <w:p w:rsidR="004C35DF" w:rsidRPr="004C35DF" w:rsidRDefault="000A0747" w:rsidP="004C35DF">
      <w:pPr>
        <w:spacing w:line="360" w:lineRule="auto"/>
        <w:rPr>
          <w:rFonts w:cstheme="minorHAnsi"/>
          <w:sz w:val="24"/>
          <w:szCs w:val="24"/>
        </w:rPr>
      </w:pPr>
      <w:r w:rsidRPr="004C35DF">
        <w:rPr>
          <w:rFonts w:cstheme="minorHAnsi"/>
          <w:sz w:val="24"/>
          <w:szCs w:val="24"/>
        </w:rPr>
        <w:t>Light, R., Nee, C., &amp; Ingham, H. (1993). </w:t>
      </w:r>
      <w:r w:rsidRPr="004C35DF">
        <w:rPr>
          <w:rFonts w:cstheme="minorHAnsi"/>
          <w:i/>
          <w:iCs/>
          <w:sz w:val="24"/>
          <w:szCs w:val="24"/>
        </w:rPr>
        <w:t>Car theft: The offender's perspective</w:t>
      </w:r>
      <w:r w:rsidRPr="004C35DF">
        <w:rPr>
          <w:rFonts w:cstheme="minorHAnsi"/>
          <w:sz w:val="24"/>
          <w:szCs w:val="24"/>
        </w:rPr>
        <w:t>. HM Stationery Office.</w:t>
      </w:r>
    </w:p>
    <w:p w:rsidR="004C35DF" w:rsidRPr="004C35DF" w:rsidRDefault="000A0747" w:rsidP="004C35DF">
      <w:pPr>
        <w:spacing w:line="360" w:lineRule="auto"/>
        <w:rPr>
          <w:rFonts w:cstheme="minorHAnsi"/>
          <w:sz w:val="24"/>
          <w:szCs w:val="24"/>
        </w:rPr>
      </w:pPr>
      <w:r w:rsidRPr="004C35DF">
        <w:rPr>
          <w:rFonts w:cstheme="minorHAnsi"/>
          <w:sz w:val="24"/>
          <w:szCs w:val="24"/>
        </w:rPr>
        <w:lastRenderedPageBreak/>
        <w:t>Thuma, E., &amp; Motlogelwa, N. P. (2017, December). On the importance of Legal Catchphrases in Precedence Retrieval. In </w:t>
      </w:r>
      <w:r w:rsidRPr="004C35DF">
        <w:rPr>
          <w:rFonts w:cstheme="minorHAnsi"/>
          <w:i/>
          <w:iCs/>
          <w:sz w:val="24"/>
          <w:szCs w:val="24"/>
        </w:rPr>
        <w:t>FIRE (Working Notes)</w:t>
      </w:r>
      <w:r w:rsidRPr="004C35DF">
        <w:rPr>
          <w:rFonts w:cstheme="minorHAnsi"/>
          <w:sz w:val="24"/>
          <w:szCs w:val="24"/>
        </w:rPr>
        <w:t> (pp. 92-94).</w:t>
      </w:r>
    </w:p>
    <w:p w:rsidR="004C35DF" w:rsidRDefault="000A0747" w:rsidP="004C35DF">
      <w:pPr>
        <w:spacing w:line="360" w:lineRule="auto"/>
        <w:rPr>
          <w:rFonts w:cstheme="minorHAnsi"/>
          <w:sz w:val="24"/>
          <w:szCs w:val="24"/>
        </w:rPr>
      </w:pPr>
      <w:r w:rsidRPr="004C35DF">
        <w:rPr>
          <w:rFonts w:cstheme="minorHAnsi"/>
          <w:sz w:val="24"/>
          <w:szCs w:val="24"/>
        </w:rPr>
        <w:t>TaxCounsel Pty Ltd. (2015). Guilty by association. </w:t>
      </w:r>
      <w:r w:rsidRPr="004C35DF">
        <w:rPr>
          <w:rFonts w:cstheme="minorHAnsi"/>
          <w:i/>
          <w:iCs/>
          <w:sz w:val="24"/>
          <w:szCs w:val="24"/>
        </w:rPr>
        <w:t>Taxation in Australia</w:t>
      </w:r>
      <w:r w:rsidRPr="004C35DF">
        <w:rPr>
          <w:rFonts w:cstheme="minorHAnsi"/>
          <w:sz w:val="24"/>
          <w:szCs w:val="24"/>
        </w:rPr>
        <w:t>, </w:t>
      </w:r>
      <w:r w:rsidRPr="004C35DF">
        <w:rPr>
          <w:rFonts w:cstheme="minorHAnsi"/>
          <w:i/>
          <w:iCs/>
          <w:sz w:val="24"/>
          <w:szCs w:val="24"/>
        </w:rPr>
        <w:t>50</w:t>
      </w:r>
      <w:r w:rsidRPr="004C35DF">
        <w:rPr>
          <w:rFonts w:cstheme="minorHAnsi"/>
          <w:sz w:val="24"/>
          <w:szCs w:val="24"/>
        </w:rPr>
        <w:t>(4), 183-184.</w:t>
      </w:r>
    </w:p>
    <w:p w:rsidR="004C35DF" w:rsidRPr="004C35DF" w:rsidRDefault="000A0747" w:rsidP="004C35DF">
      <w:pPr>
        <w:spacing w:line="360" w:lineRule="auto"/>
        <w:rPr>
          <w:rFonts w:cstheme="minorHAnsi"/>
          <w:sz w:val="24"/>
          <w:szCs w:val="24"/>
        </w:rPr>
      </w:pPr>
      <w:r w:rsidRPr="004C35DF">
        <w:rPr>
          <w:rFonts w:cstheme="minorHAnsi"/>
          <w:sz w:val="24"/>
          <w:szCs w:val="24"/>
        </w:rPr>
        <w:t>Mawby, R. (2013). </w:t>
      </w:r>
      <w:r w:rsidRPr="004C35DF">
        <w:rPr>
          <w:rFonts w:cstheme="minorHAnsi"/>
          <w:i/>
          <w:iCs/>
          <w:sz w:val="24"/>
          <w:szCs w:val="24"/>
        </w:rPr>
        <w:t>Burglary</w:t>
      </w:r>
      <w:r w:rsidRPr="004C35DF">
        <w:rPr>
          <w:rFonts w:cstheme="minorHAnsi"/>
          <w:sz w:val="24"/>
          <w:szCs w:val="24"/>
        </w:rPr>
        <w:t>. Routledge.</w:t>
      </w:r>
    </w:p>
    <w:p w:rsidR="004C35DF" w:rsidRPr="004C35DF" w:rsidRDefault="000A0747" w:rsidP="004C35DF">
      <w:pPr>
        <w:spacing w:line="360" w:lineRule="auto"/>
        <w:rPr>
          <w:rFonts w:cstheme="minorHAnsi"/>
          <w:sz w:val="24"/>
          <w:szCs w:val="24"/>
        </w:rPr>
      </w:pPr>
      <w:r w:rsidRPr="004C35DF">
        <w:rPr>
          <w:rFonts w:cstheme="minorHAnsi"/>
          <w:i/>
          <w:iCs/>
          <w:sz w:val="24"/>
          <w:szCs w:val="24"/>
        </w:rPr>
        <w:t>university of southern Indiana</w:t>
      </w:r>
      <w:r w:rsidRPr="004C35DF">
        <w:rPr>
          <w:rFonts w:cstheme="minorHAnsi"/>
          <w:sz w:val="24"/>
          <w:szCs w:val="24"/>
        </w:rPr>
        <w:t>. (2021). The University of Southern Indiana. https://www.usi.edu/internalaudit/what-is-fraud/</w:t>
      </w:r>
    </w:p>
    <w:p w:rsidR="004C35DF" w:rsidRPr="004C35DF" w:rsidRDefault="004C35DF" w:rsidP="004C35DF">
      <w:pPr>
        <w:spacing w:line="360" w:lineRule="auto"/>
        <w:ind w:firstLine="720"/>
        <w:rPr>
          <w:rFonts w:cstheme="minorHAnsi"/>
          <w:sz w:val="24"/>
          <w:szCs w:val="24"/>
        </w:rPr>
      </w:pPr>
    </w:p>
    <w:sectPr w:rsidR="004C35DF" w:rsidRPr="004C35DF" w:rsidSect="0046373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A69" w:rsidRDefault="00492A69">
      <w:pPr>
        <w:spacing w:after="0" w:line="240" w:lineRule="auto"/>
      </w:pPr>
      <w:r>
        <w:separator/>
      </w:r>
    </w:p>
  </w:endnote>
  <w:endnote w:type="continuationSeparator" w:id="1">
    <w:p w:rsidR="00492A69" w:rsidRDefault="00492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12" w:rsidRPr="00AC7610" w:rsidRDefault="000A0747" w:rsidP="00383A0D">
    <w:pPr>
      <w:pStyle w:val="Footer"/>
      <w:rPr>
        <w:sz w:val="18"/>
        <w:szCs w:val="18"/>
      </w:rPr>
    </w:pPr>
    <w:r w:rsidRPr="00AC7610">
      <w:rPr>
        <w:sz w:val="18"/>
        <w:szCs w:val="18"/>
        <w:vertAlign w:val="superscript"/>
      </w:rPr>
      <w:t xml:space="preserve">1 </w:t>
    </w:r>
    <w:r w:rsidR="00383A0D" w:rsidRPr="00AC7610">
      <w:rPr>
        <w:sz w:val="18"/>
        <w:szCs w:val="18"/>
      </w:rPr>
      <w:t xml:space="preserve">Robbery violence. (1987). </w:t>
    </w:r>
    <w:r w:rsidR="00383A0D" w:rsidRPr="00AC7610">
      <w:rPr>
        <w:i/>
        <w:iCs/>
        <w:sz w:val="18"/>
        <w:szCs w:val="18"/>
      </w:rPr>
      <w:t>Robbery Violence</w:t>
    </w:r>
    <w:r w:rsidR="00383A0D" w:rsidRPr="00AC7610">
      <w:rPr>
        <w:sz w:val="18"/>
        <w:szCs w:val="18"/>
      </w:rPr>
      <w:t xml:space="preserve">, 1–21. </w:t>
    </w:r>
  </w:p>
  <w:p w:rsidR="00675712" w:rsidRPr="00AC7610" w:rsidRDefault="000A0747" w:rsidP="00675712">
    <w:pPr>
      <w:pStyle w:val="Footer"/>
      <w:rPr>
        <w:rFonts w:cstheme="minorHAnsi"/>
        <w:sz w:val="18"/>
        <w:szCs w:val="18"/>
      </w:rPr>
    </w:pPr>
    <w:r w:rsidRPr="00AC7610">
      <w:rPr>
        <w:rFonts w:eastAsia="Times New Roman" w:cstheme="minorHAnsi"/>
        <w:bCs/>
        <w:i/>
        <w:iCs/>
        <w:color w:val="000000"/>
        <w:sz w:val="18"/>
        <w:szCs w:val="18"/>
        <w:vertAlign w:val="superscript"/>
      </w:rPr>
      <w:t xml:space="preserve">2 </w:t>
    </w:r>
    <w:r w:rsidRPr="00AC7610">
      <w:rPr>
        <w:rFonts w:eastAsia="Times New Roman" w:cstheme="minorHAnsi"/>
        <w:bCs/>
        <w:i/>
        <w:iCs/>
        <w:color w:val="000000"/>
        <w:sz w:val="18"/>
        <w:szCs w:val="18"/>
      </w:rPr>
      <w:t>Corcoran v Anderton</w:t>
    </w:r>
    <w:r w:rsidRPr="00AC7610">
      <w:rPr>
        <w:rFonts w:eastAsia="Times New Roman" w:cstheme="minorHAnsi"/>
        <w:bCs/>
        <w:color w:val="000000"/>
        <w:sz w:val="18"/>
        <w:szCs w:val="18"/>
      </w:rPr>
      <w:t> (1980) 71 Cr App R 104</w:t>
    </w:r>
  </w:p>
  <w:p w:rsidR="00383A0D" w:rsidRPr="00AC7610" w:rsidRDefault="000A0747" w:rsidP="00383A0D">
    <w:pPr>
      <w:pStyle w:val="Footer"/>
      <w:rPr>
        <w:sz w:val="18"/>
        <w:szCs w:val="18"/>
      </w:rPr>
    </w:pPr>
    <w:r w:rsidRPr="00AC7610">
      <w:rPr>
        <w:sz w:val="18"/>
        <w:szCs w:val="18"/>
        <w:vertAlign w:val="superscript"/>
      </w:rPr>
      <w:t xml:space="preserve">3 </w:t>
    </w:r>
    <w:r w:rsidRPr="00AC7610">
      <w:rPr>
        <w:sz w:val="18"/>
        <w:szCs w:val="18"/>
      </w:rPr>
      <w:t>https://scholarlycommons.law.northwestern.edu/cgi/viewcontent.cgi?article=6558&amp;context=jclc</w:t>
    </w:r>
  </w:p>
  <w:p w:rsidR="00A47ED5" w:rsidRPr="00AC7610" w:rsidRDefault="000A0747" w:rsidP="00A47ED5">
    <w:pPr>
      <w:pStyle w:val="Footer"/>
      <w:rPr>
        <w:sz w:val="18"/>
        <w:szCs w:val="18"/>
      </w:rPr>
    </w:pPr>
    <w:r w:rsidRPr="00AC7610">
      <w:rPr>
        <w:iCs/>
        <w:sz w:val="18"/>
        <w:szCs w:val="18"/>
        <w:vertAlign w:val="superscript"/>
      </w:rPr>
      <w:t xml:space="preserve">4 </w:t>
    </w:r>
    <w:r w:rsidRPr="00AC7610">
      <w:rPr>
        <w:i/>
        <w:iCs/>
        <w:sz w:val="18"/>
        <w:szCs w:val="18"/>
      </w:rPr>
      <w:t>Taking without owner’s consent</w:t>
    </w:r>
    <w:r w:rsidRPr="00AC7610">
      <w:rPr>
        <w:sz w:val="18"/>
        <w:szCs w:val="18"/>
      </w:rPr>
      <w:t xml:space="preserve">. (2018). Wiki Loves Africa. </w:t>
    </w:r>
    <w:hyperlink r:id="rId1" w:history="1">
      <w:r w:rsidRPr="00AC7610">
        <w:rPr>
          <w:rStyle w:val="Hyperlink"/>
          <w:sz w:val="18"/>
          <w:szCs w:val="18"/>
        </w:rPr>
        <w:t>https://en.wikipedia.org/wiki/Taking_without_owner%27s_consent</w:t>
      </w:r>
    </w:hyperlink>
  </w:p>
  <w:p w:rsidR="00A47ED5" w:rsidRPr="00AC7610" w:rsidRDefault="000A0747" w:rsidP="00A47ED5">
    <w:pPr>
      <w:pStyle w:val="Footer"/>
      <w:rPr>
        <w:sz w:val="18"/>
        <w:szCs w:val="18"/>
      </w:rPr>
    </w:pPr>
    <w:r w:rsidRPr="00AC7610">
      <w:rPr>
        <w:sz w:val="18"/>
        <w:szCs w:val="18"/>
        <w:vertAlign w:val="superscript"/>
      </w:rPr>
      <w:t>5</w:t>
    </w:r>
    <w:r w:rsidRPr="00AC7610">
      <w:rPr>
        <w:sz w:val="18"/>
        <w:szCs w:val="18"/>
      </w:rPr>
      <w:t>Light, R., Nee, C., &amp; Ingham, H. (1993). </w:t>
    </w:r>
    <w:r w:rsidRPr="00AC7610">
      <w:rPr>
        <w:i/>
        <w:iCs/>
        <w:sz w:val="18"/>
        <w:szCs w:val="18"/>
      </w:rPr>
      <w:t>Car theft: The offender's perspective</w:t>
    </w:r>
    <w:r w:rsidRPr="00AC7610">
      <w:rPr>
        <w:sz w:val="18"/>
        <w:szCs w:val="18"/>
      </w:rPr>
      <w:t>. HM Stationery Office.</w:t>
    </w:r>
  </w:p>
  <w:p w:rsidR="00A47ED5" w:rsidRPr="00AC7610" w:rsidRDefault="000A0747" w:rsidP="00A47ED5">
    <w:pPr>
      <w:pStyle w:val="Footer"/>
      <w:rPr>
        <w:sz w:val="18"/>
        <w:szCs w:val="18"/>
      </w:rPr>
    </w:pPr>
    <w:r w:rsidRPr="00AC7610">
      <w:rPr>
        <w:i/>
        <w:iCs/>
        <w:sz w:val="18"/>
        <w:szCs w:val="18"/>
        <w:vertAlign w:val="superscript"/>
      </w:rPr>
      <w:t>6</w:t>
    </w:r>
    <w:r w:rsidRPr="00AC7610">
      <w:rPr>
        <w:i/>
        <w:iCs/>
        <w:sz w:val="18"/>
        <w:szCs w:val="18"/>
      </w:rPr>
      <w:t>social work degree guide</w:t>
    </w:r>
    <w:r w:rsidRPr="00AC7610">
      <w:rPr>
        <w:sz w:val="18"/>
        <w:szCs w:val="18"/>
      </w:rPr>
      <w:t xml:space="preserve">. (2021). Social Work Degree Guide.     </w:t>
    </w:r>
    <w:hyperlink r:id="rId2" w:history="1">
      <w:r w:rsidR="00E30D02" w:rsidRPr="00AC7610">
        <w:rPr>
          <w:rStyle w:val="Hyperlink"/>
          <w:sz w:val="18"/>
          <w:szCs w:val="18"/>
        </w:rPr>
        <w:t>https://www.socialworkdegreeguide.com/faq/what-is-recidivism/</w:t>
      </w:r>
    </w:hyperlink>
  </w:p>
  <w:p w:rsidR="00A47ED5" w:rsidRPr="00AC7610" w:rsidRDefault="000A0747" w:rsidP="00A47ED5">
    <w:pPr>
      <w:pStyle w:val="Footer"/>
      <w:rPr>
        <w:sz w:val="18"/>
        <w:szCs w:val="18"/>
      </w:rPr>
    </w:pPr>
    <w:r w:rsidRPr="00AC7610">
      <w:rPr>
        <w:sz w:val="18"/>
        <w:szCs w:val="18"/>
        <w:vertAlign w:val="superscript"/>
      </w:rPr>
      <w:t>7</w:t>
    </w:r>
    <w:r w:rsidR="00E30D02" w:rsidRPr="00AC7610">
      <w:rPr>
        <w:sz w:val="18"/>
        <w:szCs w:val="18"/>
      </w:rPr>
      <w:t>Thuma, E., &amp; Motlogelwa, N. P. (2017, December). On the impo</w:t>
    </w:r>
    <w:r w:rsidR="00AC7610" w:rsidRPr="00AC7610">
      <w:rPr>
        <w:sz w:val="18"/>
        <w:szCs w:val="18"/>
      </w:rPr>
      <w:t xml:space="preserve">rtance of Legal Catchphrases in </w:t>
    </w:r>
    <w:r w:rsidR="00E30D02" w:rsidRPr="00AC7610">
      <w:rPr>
        <w:sz w:val="18"/>
        <w:szCs w:val="18"/>
      </w:rPr>
      <w:t>Precedence Retrieval. In </w:t>
    </w:r>
    <w:r w:rsidR="00E30D02" w:rsidRPr="00AC7610">
      <w:rPr>
        <w:i/>
        <w:iCs/>
        <w:sz w:val="18"/>
        <w:szCs w:val="18"/>
      </w:rPr>
      <w:t>FIRE (Working Notes)</w:t>
    </w:r>
    <w:r w:rsidR="00E30D02" w:rsidRPr="00AC7610">
      <w:rPr>
        <w:sz w:val="18"/>
        <w:szCs w:val="18"/>
      </w:rPr>
      <w:t> (pp. 92-94).</w:t>
    </w:r>
  </w:p>
  <w:p w:rsidR="00E30D02" w:rsidRPr="00AC7610" w:rsidRDefault="000A0747" w:rsidP="00E30D02">
    <w:pPr>
      <w:pStyle w:val="Footer"/>
      <w:rPr>
        <w:sz w:val="18"/>
        <w:szCs w:val="18"/>
      </w:rPr>
    </w:pPr>
    <w:r w:rsidRPr="00AC7610">
      <w:rPr>
        <w:i/>
        <w:iCs/>
        <w:sz w:val="18"/>
        <w:szCs w:val="18"/>
        <w:vertAlign w:val="superscript"/>
      </w:rPr>
      <w:t xml:space="preserve">8 </w:t>
    </w:r>
    <w:r w:rsidRPr="00AC7610">
      <w:rPr>
        <w:i/>
        <w:iCs/>
        <w:sz w:val="18"/>
        <w:szCs w:val="18"/>
      </w:rPr>
      <w:t>ownership rights in real property</w:t>
    </w:r>
    <w:r w:rsidRPr="00AC7610">
      <w:rPr>
        <w:sz w:val="18"/>
        <w:szCs w:val="18"/>
      </w:rPr>
      <w:t xml:space="preserve">. (2021). Legal Referral Service. </w:t>
    </w:r>
    <w:hyperlink r:id="rId3" w:history="1">
      <w:r w:rsidR="00675712" w:rsidRPr="00AC7610">
        <w:rPr>
          <w:rStyle w:val="Hyperlink"/>
          <w:sz w:val="18"/>
          <w:szCs w:val="18"/>
        </w:rPr>
        <w:t>https://www.nycbar.org/get-legal-help/article/real-property-law/ownership-rights-in-real-property/</w:t>
      </w:r>
    </w:hyperlink>
  </w:p>
  <w:p w:rsidR="00675712" w:rsidRPr="00AC7610" w:rsidRDefault="000A0747" w:rsidP="00E30D02">
    <w:pPr>
      <w:pStyle w:val="Footer"/>
      <w:rPr>
        <w:sz w:val="18"/>
        <w:szCs w:val="18"/>
      </w:rPr>
    </w:pPr>
    <w:r w:rsidRPr="00AC7610">
      <w:rPr>
        <w:sz w:val="18"/>
        <w:szCs w:val="18"/>
        <w:vertAlign w:val="superscript"/>
      </w:rPr>
      <w:t xml:space="preserve">9 </w:t>
    </w:r>
    <w:r w:rsidRPr="00AC7610">
      <w:rPr>
        <w:sz w:val="18"/>
        <w:szCs w:val="18"/>
      </w:rPr>
      <w:t>Jaggard v Dickinson [1981] 1 QB 527</w:t>
    </w:r>
  </w:p>
  <w:p w:rsidR="00E30D02" w:rsidRPr="00AC7610" w:rsidRDefault="000A0747" w:rsidP="00A47ED5">
    <w:pPr>
      <w:pStyle w:val="Footer"/>
      <w:rPr>
        <w:sz w:val="18"/>
        <w:szCs w:val="18"/>
      </w:rPr>
    </w:pPr>
    <w:r w:rsidRPr="00AC7610">
      <w:rPr>
        <w:sz w:val="18"/>
        <w:szCs w:val="18"/>
        <w:vertAlign w:val="superscript"/>
      </w:rPr>
      <w:t>10</w:t>
    </w:r>
    <w:r w:rsidRPr="00AC7610">
      <w:rPr>
        <w:sz w:val="18"/>
        <w:szCs w:val="18"/>
      </w:rPr>
      <w:t>TaxCounsel Pty Ltd. (2015). Guilty by association. </w:t>
    </w:r>
    <w:r w:rsidRPr="00AC7610">
      <w:rPr>
        <w:i/>
        <w:iCs/>
        <w:sz w:val="18"/>
        <w:szCs w:val="18"/>
      </w:rPr>
      <w:t>Taxation in Australia</w:t>
    </w:r>
    <w:r w:rsidRPr="00AC7610">
      <w:rPr>
        <w:sz w:val="18"/>
        <w:szCs w:val="18"/>
      </w:rPr>
      <w:t>, </w:t>
    </w:r>
    <w:r w:rsidRPr="00AC7610">
      <w:rPr>
        <w:i/>
        <w:iCs/>
        <w:sz w:val="18"/>
        <w:szCs w:val="18"/>
      </w:rPr>
      <w:t>50</w:t>
    </w:r>
    <w:r w:rsidRPr="00AC7610">
      <w:rPr>
        <w:sz w:val="18"/>
        <w:szCs w:val="18"/>
      </w:rPr>
      <w:t>(4), 183-184.</w:t>
    </w:r>
  </w:p>
  <w:p w:rsidR="00E30D02" w:rsidRPr="00AC7610" w:rsidRDefault="000A0747" w:rsidP="00E30D02">
    <w:pPr>
      <w:pStyle w:val="Footer"/>
      <w:rPr>
        <w:sz w:val="18"/>
        <w:szCs w:val="18"/>
      </w:rPr>
    </w:pPr>
    <w:r w:rsidRPr="00AC7610">
      <w:rPr>
        <w:i/>
        <w:iCs/>
        <w:sz w:val="18"/>
        <w:szCs w:val="18"/>
        <w:vertAlign w:val="superscript"/>
      </w:rPr>
      <w:t>11</w:t>
    </w:r>
    <w:r w:rsidRPr="00AC7610">
      <w:rPr>
        <w:i/>
        <w:iCs/>
        <w:sz w:val="18"/>
        <w:szCs w:val="18"/>
      </w:rPr>
      <w:t>criminal trespassing law</w:t>
    </w:r>
    <w:r w:rsidRPr="00AC7610">
      <w:rPr>
        <w:sz w:val="18"/>
        <w:szCs w:val="18"/>
      </w:rPr>
      <w:t xml:space="preserve">. (2021). Criminal Trespassing Law. </w:t>
    </w:r>
    <w:hyperlink r:id="rId4" w:history="1">
      <w:r w:rsidRPr="00AC7610">
        <w:rPr>
          <w:rStyle w:val="Hyperlink"/>
          <w:sz w:val="18"/>
          <w:szCs w:val="18"/>
        </w:rPr>
        <w:t>https://www.nolo.com/legal-encyclopedia/criminal-trespassing-law.html</w:t>
      </w:r>
    </w:hyperlink>
  </w:p>
  <w:p w:rsidR="00E30D02" w:rsidRPr="00AC7610" w:rsidRDefault="000A0747" w:rsidP="00E30D02">
    <w:pPr>
      <w:pStyle w:val="Footer"/>
      <w:rPr>
        <w:sz w:val="18"/>
        <w:szCs w:val="18"/>
      </w:rPr>
    </w:pPr>
    <w:r w:rsidRPr="00AC7610">
      <w:rPr>
        <w:sz w:val="18"/>
        <w:szCs w:val="18"/>
        <w:vertAlign w:val="superscript"/>
      </w:rPr>
      <w:t>1</w:t>
    </w:r>
    <w:r w:rsidR="00AC7610" w:rsidRPr="00AC7610">
      <w:rPr>
        <w:sz w:val="18"/>
        <w:szCs w:val="18"/>
        <w:vertAlign w:val="superscript"/>
      </w:rPr>
      <w:t>2</w:t>
    </w:r>
    <w:r w:rsidRPr="00AC7610">
      <w:rPr>
        <w:sz w:val="18"/>
        <w:szCs w:val="18"/>
      </w:rPr>
      <w:t>Mawby, R. (2013). </w:t>
    </w:r>
    <w:r w:rsidRPr="00AC7610">
      <w:rPr>
        <w:i/>
        <w:iCs/>
        <w:sz w:val="18"/>
        <w:szCs w:val="18"/>
      </w:rPr>
      <w:t>Burglary</w:t>
    </w:r>
    <w:r w:rsidRPr="00AC7610">
      <w:rPr>
        <w:sz w:val="18"/>
        <w:szCs w:val="18"/>
      </w:rPr>
      <w:t>. Routledge.</w:t>
    </w:r>
  </w:p>
  <w:p w:rsidR="00E30D02" w:rsidRPr="00AC7610" w:rsidRDefault="000A0747" w:rsidP="00E30D02">
    <w:pPr>
      <w:pStyle w:val="Footer"/>
      <w:rPr>
        <w:sz w:val="18"/>
        <w:szCs w:val="18"/>
      </w:rPr>
    </w:pPr>
    <w:r w:rsidRPr="00AC7610">
      <w:rPr>
        <w:i/>
        <w:iCs/>
        <w:sz w:val="18"/>
        <w:szCs w:val="18"/>
        <w:vertAlign w:val="superscript"/>
      </w:rPr>
      <w:t>1</w:t>
    </w:r>
    <w:r w:rsidR="00AC7610" w:rsidRPr="00AC7610">
      <w:rPr>
        <w:i/>
        <w:iCs/>
        <w:sz w:val="18"/>
        <w:szCs w:val="18"/>
        <w:vertAlign w:val="superscript"/>
      </w:rPr>
      <w:t>3</w:t>
    </w:r>
    <w:r w:rsidRPr="00AC7610">
      <w:rPr>
        <w:i/>
        <w:iCs/>
        <w:sz w:val="18"/>
        <w:szCs w:val="18"/>
      </w:rPr>
      <w:t>university of southern Indiana</w:t>
    </w:r>
    <w:r w:rsidRPr="00AC7610">
      <w:rPr>
        <w:sz w:val="18"/>
        <w:szCs w:val="18"/>
      </w:rPr>
      <w:t>. (2021). The University of Southern Indiana. https://www.usi.edu/internalaudit/what-is-fraud/</w:t>
    </w:r>
  </w:p>
  <w:p w:rsidR="006F2C11" w:rsidRPr="00AC7610" w:rsidRDefault="006F2C11">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A69" w:rsidRDefault="00492A69">
      <w:pPr>
        <w:spacing w:after="0" w:line="240" w:lineRule="auto"/>
      </w:pPr>
      <w:r>
        <w:separator/>
      </w:r>
    </w:p>
  </w:footnote>
  <w:footnote w:type="continuationSeparator" w:id="1">
    <w:p w:rsidR="00492A69" w:rsidRDefault="00492A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25FB4"/>
    <w:rsid w:val="00014A0A"/>
    <w:rsid w:val="000440BB"/>
    <w:rsid w:val="000A0747"/>
    <w:rsid w:val="000D0B8D"/>
    <w:rsid w:val="000E3D34"/>
    <w:rsid w:val="00231198"/>
    <w:rsid w:val="0026516B"/>
    <w:rsid w:val="00265DC8"/>
    <w:rsid w:val="00267E94"/>
    <w:rsid w:val="00285A48"/>
    <w:rsid w:val="002A3264"/>
    <w:rsid w:val="002F5F83"/>
    <w:rsid w:val="00326849"/>
    <w:rsid w:val="00383A0D"/>
    <w:rsid w:val="00383D69"/>
    <w:rsid w:val="003907A1"/>
    <w:rsid w:val="003A4B0D"/>
    <w:rsid w:val="003C3D97"/>
    <w:rsid w:val="0043770B"/>
    <w:rsid w:val="00463731"/>
    <w:rsid w:val="00492A69"/>
    <w:rsid w:val="004B6A21"/>
    <w:rsid w:val="004C35DF"/>
    <w:rsid w:val="00585E73"/>
    <w:rsid w:val="005917C3"/>
    <w:rsid w:val="006127C6"/>
    <w:rsid w:val="00632BD2"/>
    <w:rsid w:val="00672DF5"/>
    <w:rsid w:val="00675712"/>
    <w:rsid w:val="00695210"/>
    <w:rsid w:val="006F2C11"/>
    <w:rsid w:val="00752374"/>
    <w:rsid w:val="00815F71"/>
    <w:rsid w:val="00825FB4"/>
    <w:rsid w:val="00827F06"/>
    <w:rsid w:val="008D68C9"/>
    <w:rsid w:val="0094767B"/>
    <w:rsid w:val="009C7804"/>
    <w:rsid w:val="00A46B16"/>
    <w:rsid w:val="00A47ED5"/>
    <w:rsid w:val="00A711D0"/>
    <w:rsid w:val="00A755FD"/>
    <w:rsid w:val="00AC7610"/>
    <w:rsid w:val="00B019DC"/>
    <w:rsid w:val="00B0503B"/>
    <w:rsid w:val="00B055D1"/>
    <w:rsid w:val="00B45291"/>
    <w:rsid w:val="00B522B1"/>
    <w:rsid w:val="00BC46EF"/>
    <w:rsid w:val="00BC5650"/>
    <w:rsid w:val="00BC614F"/>
    <w:rsid w:val="00C95FF3"/>
    <w:rsid w:val="00CA6637"/>
    <w:rsid w:val="00CB6DA8"/>
    <w:rsid w:val="00CC7FD3"/>
    <w:rsid w:val="00CD3216"/>
    <w:rsid w:val="00D66290"/>
    <w:rsid w:val="00E006FA"/>
    <w:rsid w:val="00E30D02"/>
    <w:rsid w:val="00E516C7"/>
    <w:rsid w:val="00E828DA"/>
    <w:rsid w:val="00EB4778"/>
    <w:rsid w:val="00F338AE"/>
    <w:rsid w:val="00F5459B"/>
    <w:rsid w:val="00F66914"/>
    <w:rsid w:val="00FC1A7A"/>
    <w:rsid w:val="00FC1BED"/>
    <w:rsid w:val="00FC35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C11"/>
  </w:style>
  <w:style w:type="paragraph" w:styleId="Footer">
    <w:name w:val="footer"/>
    <w:basedOn w:val="Normal"/>
    <w:link w:val="FooterChar"/>
    <w:uiPriority w:val="99"/>
    <w:unhideWhenUsed/>
    <w:rsid w:val="006F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C11"/>
  </w:style>
  <w:style w:type="paragraph" w:styleId="BalloonText">
    <w:name w:val="Balloon Text"/>
    <w:basedOn w:val="Normal"/>
    <w:link w:val="BalloonTextChar"/>
    <w:uiPriority w:val="99"/>
    <w:semiHidden/>
    <w:unhideWhenUsed/>
    <w:rsid w:val="0038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A0D"/>
    <w:rPr>
      <w:rFonts w:ascii="Tahoma" w:hAnsi="Tahoma" w:cs="Tahoma"/>
      <w:sz w:val="16"/>
      <w:szCs w:val="16"/>
    </w:rPr>
  </w:style>
  <w:style w:type="character" w:styleId="Hyperlink">
    <w:name w:val="Hyperlink"/>
    <w:basedOn w:val="DefaultParagraphFont"/>
    <w:uiPriority w:val="99"/>
    <w:unhideWhenUsed/>
    <w:rsid w:val="00A47ED5"/>
    <w:rPr>
      <w:color w:val="0000FF" w:themeColor="hyperlink"/>
      <w:u w:val="single"/>
    </w:rPr>
  </w:style>
  <w:style w:type="character" w:styleId="Strong">
    <w:name w:val="Strong"/>
    <w:basedOn w:val="DefaultParagraphFont"/>
    <w:uiPriority w:val="22"/>
    <w:qFormat/>
    <w:rsid w:val="00675712"/>
    <w:rPr>
      <w:b/>
      <w:bCs/>
    </w:rPr>
  </w:style>
  <w:style w:type="character" w:styleId="Emphasis">
    <w:name w:val="Emphasis"/>
    <w:basedOn w:val="DefaultParagraphFont"/>
    <w:uiPriority w:val="20"/>
    <w:qFormat/>
    <w:rsid w:val="0067571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degreeguide.com/faq/what-is-recidivis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Taking_without_owner%27s_cons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ycbar.org/get-legal-help/article/real-property-law/ownership-rights-in-real-property/" TargetMode="External"/><Relationship Id="rId4" Type="http://schemas.openxmlformats.org/officeDocument/2006/relationships/webSettings" Target="webSettings.xml"/><Relationship Id="rId9" Type="http://schemas.openxmlformats.org/officeDocument/2006/relationships/hyperlink" Target="https://www.nolo.com/legal-encyclopedia/criminal-trespassing-law.html"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hyperlink" Target="https://www.nycbar.org/get-legal-help/article/real-property-law/ownership-rights-in-real-property/" TargetMode="External"/><Relationship Id="rId2" Type="http://schemas.openxmlformats.org/officeDocument/2006/relationships/hyperlink" Target="https://www.socialworkdegreeguide.com/faq/what-is-recidivism/" TargetMode="External"/><Relationship Id="rId1" Type="http://schemas.openxmlformats.org/officeDocument/2006/relationships/hyperlink" Target="https://en.wikipedia.org/wiki/Taking_without_owner%27s_consent" TargetMode="External"/><Relationship Id="rId4" Type="http://schemas.openxmlformats.org/officeDocument/2006/relationships/hyperlink" Target="https://www.nolo.com/legal-encyclopedia/criminal-trespassing-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89D1-923C-44D7-9F7C-CCD0B34D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2021-03-29T06:17:00Z</dcterms:created>
  <dcterms:modified xsi:type="dcterms:W3CDTF">2021-03-29T06:17:00Z</dcterms:modified>
</cp:coreProperties>
</file>