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6AD463"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information management is one of the leading competitive differentiation strategies for firms. With the increasing criticality of information management in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and process support, establishing an integrated capability with </w:t>
      </w:r>
      <w:r w:rsidRPr="00782AD4">
        <w:rPr>
          <w:rFonts w:ascii="Helvetica" w:eastAsia="Times New Roman" w:hAnsi="Helvetica" w:cs="Times New Roman"/>
          <w:b/>
          <w:bCs/>
          <w:color w:val="333333"/>
          <w:bdr w:val="none" w:sz="0" w:space="0" w:color="auto" w:frame="1"/>
        </w:rPr>
        <w:t>cloudcomputing</w:t>
      </w:r>
      <w:r w:rsidRPr="00782AD4">
        <w:rPr>
          <w:rFonts w:ascii="Helvetica" w:eastAsia="Times New Roman" w:hAnsi="Helvetica" w:cs="Times New Roman"/>
          <w:color w:val="333333"/>
        </w:rPr>
        <w:t> is vital for organizational success in the changing landscape of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competition. These issues have received scant attention, however. We draw on the resource-based view, dynamic capability hierarchy concepts, and the perspective of operand and operant resources to suggest a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appropriation model for firms. We argue that, to appropriate </w:t>
      </w:r>
      <w:r w:rsidRPr="00782AD4">
        <w:rPr>
          <w:rFonts w:ascii="Helvetica" w:eastAsia="Times New Roman" w:hAnsi="Helvetica" w:cs="Times New Roman"/>
          <w:b/>
          <w:bCs/>
          <w:color w:val="333333"/>
          <w:bdr w:val="none" w:sz="0" w:space="0" w:color="auto" w:frame="1"/>
        </w:rPr>
        <w:t>businessvalue</w:t>
      </w:r>
      <w:r w:rsidRPr="00782AD4">
        <w:rPr>
          <w:rFonts w:ascii="Helvetica" w:eastAsia="Times New Roman" w:hAnsi="Helvetica" w:cs="Times New Roman"/>
          <w:color w:val="333333"/>
        </w:rPr>
        <w:t>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the firm needs to effectively deploy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and leverage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operant resources as firm capabilities in a hierarchical fashion toward the development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-based service models in order to reliably achieve the desired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outcomes. We propose a model encompassing the principles of infrastructure and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platform deployment, integration and service orientation, and alignment with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processes that explain the linkage from </w:t>
      </w:r>
      <w:r w:rsidRPr="00782AD4">
        <w:rPr>
          <w:rFonts w:ascii="Helvetica" w:eastAsia="Times New Roman" w:hAnsi="Helvetica" w:cs="Times New Roman"/>
          <w:b/>
          <w:bCs/>
          <w:color w:val="333333"/>
          <w:bdr w:val="none" w:sz="0" w:space="0" w:color="auto" w:frame="1"/>
        </w:rPr>
        <w:t>cloudcomputing</w:t>
      </w:r>
      <w:r w:rsidRPr="00782AD4">
        <w:rPr>
          <w:rFonts w:ascii="Helvetica" w:eastAsia="Times New Roman" w:hAnsi="Helvetica" w:cs="Times New Roman"/>
          <w:color w:val="333333"/>
        </w:rPr>
        <w:t> to firm performance. We test this approach to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with a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implementation assessment model using a sample of 147 firms that have implemented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in India. Our analysis uncovers a strategic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appropriation path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technological capability to firm performance via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integration capability,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 portfolio capability, and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flexibility. This research offers new insights regarding the underlying mechanisms for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cloudcomputing</w:t>
      </w:r>
      <w:r w:rsidRPr="00782AD4">
        <w:rPr>
          <w:rFonts w:ascii="Helvetica" w:eastAsia="Times New Roman" w:hAnsi="Helvetica" w:cs="Times New Roman"/>
          <w:color w:val="333333"/>
        </w:rPr>
        <w:t> affects firm performance via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-enabled capabilities and the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functions that are supported by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capabilities.</w:t>
      </w:r>
    </w:p>
    <w:p w14:paraId="28628400"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Keywords: AND PHRASES: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firm capabilities; IT services; IT strategy; organizational management; operand and operant resources; resource-based view; synchronization; technology implementation; strategic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appropriation path</w:t>
      </w:r>
    </w:p>
    <w:p w14:paraId="666ECA04"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4" w:anchor="toc" w:tooltip="Introduction" w:history="1">
        <w:r w:rsidRPr="00782AD4">
          <w:rPr>
            <w:rFonts w:ascii="Helvetica" w:eastAsia="Times New Roman" w:hAnsi="Helvetica" w:cs="Times New Roman"/>
            <w:b/>
            <w:bCs/>
            <w:color w:val="005BC6"/>
            <w:bdr w:val="none" w:sz="0" w:space="0" w:color="auto" w:frame="1"/>
          </w:rPr>
          <w:t>Introduction</w:t>
        </w:r>
      </w:hyperlink>
    </w:p>
    <w:p w14:paraId="4348E960"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represents a transformational shift in information technology (IT) that is changing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organizations utilize, manage, and deliver services over the Internet [18]. In the last decade, there has been tremendous growth in the provision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technologies and services; as a result, it has increasingly become a mainstream and strategic choice for differentiation among firms.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market is growing at a rate of 20 percent to 25 percent a year, and reached a size of US$127 billion in 2018, with approximately 30 percent of worldwide enterprise applications in the market offered via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[30]. This fast-paced growth is attributable to the ease of acquisition and flexibility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services.</w:t>
      </w:r>
    </w:p>
    <w:p w14:paraId="5F2DCD42"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The potential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has encouraged firms to deploy a variety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service and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models [22]. Such models are not without risk though, and recent failures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implementations have raised questions regarding their sustainability and feasibility (Appendix Table A1). Common reasons attributed to failures include lack of integration and poor service orientation. Although most implementations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leverage data and information sharing in or across organizations, the extent to which data exchange meets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objectives often varies widely [50]. Anecdotes of failures suggest that effective utilization of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to deliver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xml:space="preserve"> as services and usable data is a key factor to achieving </w:t>
      </w:r>
      <w:r w:rsidRPr="00782AD4">
        <w:rPr>
          <w:rFonts w:ascii="Helvetica" w:eastAsia="Times New Roman" w:hAnsi="Helvetica" w:cs="Times New Roman"/>
          <w:color w:val="333333"/>
        </w:rPr>
        <w:lastRenderedPageBreak/>
        <w:t>success for a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model. The data and information exchanged need to facilitate higher-level functions and operational processes that bring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to firms.</w:t>
      </w:r>
    </w:p>
    <w:p w14:paraId="7B283E7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To shed light on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firms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leverage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resources to appropriate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this study addresses three gaps in our scholarly and practical understanding. First, there is a need to assess the "interplay between the </w:t>
      </w:r>
      <w:r w:rsidRPr="00782AD4">
        <w:rPr>
          <w:rFonts w:ascii="Helvetica" w:eastAsia="Times New Roman" w:hAnsi="Helvetica" w:cs="Times New Roman"/>
          <w:b/>
          <w:bCs/>
          <w:color w:val="333333"/>
          <w:bdr w:val="none" w:sz="0" w:space="0" w:color="auto" w:frame="1"/>
        </w:rPr>
        <w:t>cloud's</w:t>
      </w:r>
      <w:r w:rsidRPr="00782AD4">
        <w:rPr>
          <w:rFonts w:ascii="Helvetica" w:eastAsia="Times New Roman" w:hAnsi="Helvetica" w:cs="Times New Roman"/>
          <w:color w:val="333333"/>
        </w:rPr>
        <w:t> inherent capabilities and its transformative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and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affects the "capabilities of internal and external IT [and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functions" [ </w:t>
      </w:r>
      <w:hyperlink r:id="rId5" w:anchor="bib6" w:tooltip="6" w:history="1">
        <w:r w:rsidRPr="00782AD4">
          <w:rPr>
            <w:rFonts w:ascii="Helvetica" w:eastAsia="Times New Roman" w:hAnsi="Helvetica" w:cs="Times New Roman"/>
            <w:color w:val="005BC6"/>
            <w:bdr w:val="none" w:sz="0" w:space="0" w:color="auto" w:frame="1"/>
          </w:rPr>
          <w:t>6</w:t>
        </w:r>
      </w:hyperlink>
      <w:r w:rsidRPr="00782AD4">
        <w:rPr>
          <w:rFonts w:ascii="Helvetica" w:eastAsia="Times New Roman" w:hAnsi="Helvetica" w:cs="Times New Roman"/>
          <w:color w:val="333333"/>
        </w:rPr>
        <w:t>, pp. 1-2]. The dearth of effort on related issues - especially the lack of guidance for overcoming design, delivery, operational, and integration issues - is among the reasons why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performance in organizations is still less than best. To date, </w:t>
      </w:r>
      <w:r w:rsidRPr="00782AD4">
        <w:rPr>
          <w:rFonts w:ascii="Helvetica" w:eastAsia="Times New Roman" w:hAnsi="Helvetica" w:cs="Times New Roman"/>
          <w:b/>
          <w:bCs/>
          <w:color w:val="333333"/>
          <w:bdr w:val="none" w:sz="0" w:space="0" w:color="auto" w:frame="1"/>
        </w:rPr>
        <w:t>cloudcomputing</w:t>
      </w:r>
      <w:r w:rsidRPr="00782AD4">
        <w:rPr>
          <w:rFonts w:ascii="Helvetica" w:eastAsia="Times New Roman" w:hAnsi="Helvetica" w:cs="Times New Roman"/>
          <w:color w:val="333333"/>
        </w:rPr>
        <w:t> research has been dominated by studies that examine technological issues and has paid less attention to the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perspective [61]. Second, there is scant evidence or explanation of the paths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to firm performance, resulting in a lack of practical guidance for firms. Little is known regarding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appropriation from </w:t>
      </w:r>
      <w:r w:rsidRPr="00782AD4">
        <w:rPr>
          <w:rFonts w:ascii="Helvetica" w:eastAsia="Times New Roman" w:hAnsi="Helvetica" w:cs="Times New Roman"/>
          <w:b/>
          <w:bCs/>
          <w:color w:val="333333"/>
          <w:bdr w:val="none" w:sz="0" w:space="0" w:color="auto" w:frame="1"/>
        </w:rPr>
        <w:t>cloudcomputing</w:t>
      </w:r>
      <w:r w:rsidRPr="00782AD4">
        <w:rPr>
          <w:rFonts w:ascii="Helvetica" w:eastAsia="Times New Roman" w:hAnsi="Helvetica" w:cs="Times New Roman"/>
          <w:color w:val="333333"/>
        </w:rPr>
        <w:t> is achieved through the orchestration of relevant resources and capabilities. Third, there is a need for research on the integration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systems with existing legacy systems and its importance in firms' generation of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from </w:t>
      </w:r>
      <w:r w:rsidRPr="00782AD4">
        <w:rPr>
          <w:rFonts w:ascii="Helvetica" w:eastAsia="Times New Roman" w:hAnsi="Helvetica" w:cs="Times New Roman"/>
          <w:b/>
          <w:bCs/>
          <w:color w:val="333333"/>
          <w:bdr w:val="none" w:sz="0" w:space="0" w:color="auto" w:frame="1"/>
        </w:rPr>
        <w:t>cloudcomputing</w:t>
      </w:r>
      <w:r w:rsidRPr="00782AD4">
        <w:rPr>
          <w:rFonts w:ascii="Helvetica" w:eastAsia="Times New Roman" w:hAnsi="Helvetica" w:cs="Times New Roman"/>
          <w:color w:val="333333"/>
        </w:rPr>
        <w:t>. With the spread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solutions implemented by firms alongside their legacy systems, this is an important gap, both from a research and a practical perspective.</w:t>
      </w:r>
    </w:p>
    <w:p w14:paraId="51F0F468"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draw on the </w:t>
      </w:r>
      <w:r w:rsidRPr="00782AD4">
        <w:rPr>
          <w:rFonts w:ascii="Helvetica" w:eastAsia="Times New Roman" w:hAnsi="Helvetica" w:cs="Times New Roman"/>
          <w:i/>
          <w:iCs/>
          <w:color w:val="333333"/>
          <w:bdr w:val="none" w:sz="0" w:space="0" w:color="auto" w:frame="1"/>
        </w:rPr>
        <w:t>dynamic capability hierarchy</w:t>
      </w:r>
      <w:r w:rsidRPr="00782AD4">
        <w:rPr>
          <w:rFonts w:ascii="Helvetica" w:eastAsia="Times New Roman" w:hAnsi="Helvetica" w:cs="Times New Roman"/>
          <w:color w:val="333333"/>
        </w:rPr>
        <w:t> concept [92] and </w:t>
      </w:r>
      <w:r w:rsidRPr="00782AD4">
        <w:rPr>
          <w:rFonts w:ascii="Helvetica" w:eastAsia="Times New Roman" w:hAnsi="Helvetica" w:cs="Times New Roman"/>
          <w:i/>
          <w:iCs/>
          <w:color w:val="333333"/>
          <w:bdr w:val="none" w:sz="0" w:space="0" w:color="auto" w:frame="1"/>
        </w:rPr>
        <w:t>operand and operant resources perspective</w:t>
      </w:r>
      <w:r w:rsidRPr="00782AD4">
        <w:rPr>
          <w:rFonts w:ascii="Helvetica" w:eastAsia="Times New Roman" w:hAnsi="Helvetica" w:cs="Times New Roman"/>
          <w:color w:val="333333"/>
        </w:rPr>
        <w:t> [20, 53], and argue that, to appropriate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the firm needs to effectively deploy and leverage different levels of resources for developing service models to reliably achieve desired outcomes.[ </w:t>
      </w:r>
      <w:hyperlink r:id="rId6" w:anchor="bib1" w:tooltip="1" w:history="1">
        <w:r w:rsidRPr="00782AD4">
          <w:rPr>
            <w:rFonts w:ascii="Helvetica" w:eastAsia="Times New Roman" w:hAnsi="Helvetica" w:cs="Times New Roman"/>
            <w:color w:val="005BC6"/>
            <w:bdr w:val="none" w:sz="0" w:space="0" w:color="auto" w:frame="1"/>
          </w:rPr>
          <w:t>1</w:t>
        </w:r>
      </w:hyperlink>
      <w:r w:rsidRPr="00782AD4">
        <w:rPr>
          <w:rFonts w:ascii="Helvetica" w:eastAsia="Times New Roman" w:hAnsi="Helvetica" w:cs="Times New Roman"/>
          <w:color w:val="333333"/>
        </w:rPr>
        <w:t>] A distinguishing characteristic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is that it "is an [IT] service model where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services (hardware and software) are delivered on-demand to customers over a network in a self-service fashion, independent of device and location" [56, p. 177]. Thus,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is an IT service, with the vendor providing and maintaining software and infrastructure, and the client integrating and utilizing services [27]. The rationale for a hierarchical approach is that different levels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resources need to be developed, coordinated, and integrated such that they provide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-wide solutions and service offerings that generate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for stakeholders.</w:t>
      </w:r>
    </w:p>
    <w:p w14:paraId="23DD14D2"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The operand-operant resources perspective [53] suggests that </w:t>
      </w:r>
      <w:r w:rsidRPr="00782AD4">
        <w:rPr>
          <w:rFonts w:ascii="Helvetica" w:eastAsia="Times New Roman" w:hAnsi="Helvetica" w:cs="Times New Roman"/>
          <w:i/>
          <w:iCs/>
          <w:color w:val="333333"/>
          <w:bdr w:val="none" w:sz="0" w:space="0" w:color="auto" w:frame="1"/>
        </w:rPr>
        <w:t>operand resources</w:t>
      </w:r>
      <w:r w:rsidRPr="00782AD4">
        <w:rPr>
          <w:rFonts w:ascii="Helvetica" w:eastAsia="Times New Roman" w:hAnsi="Helvetica" w:cs="Times New Roman"/>
          <w:color w:val="333333"/>
        </w:rPr>
        <w:t> are typically physical resources upon which an operation is performed. In contrast, </w:t>
      </w:r>
      <w:r w:rsidRPr="00782AD4">
        <w:rPr>
          <w:rFonts w:ascii="Helvetica" w:eastAsia="Times New Roman" w:hAnsi="Helvetica" w:cs="Times New Roman"/>
          <w:i/>
          <w:iCs/>
          <w:color w:val="333333"/>
          <w:bdr w:val="none" w:sz="0" w:space="0" w:color="auto" w:frame="1"/>
        </w:rPr>
        <w:t>operant resources</w:t>
      </w:r>
      <w:r w:rsidRPr="00782AD4">
        <w:rPr>
          <w:rFonts w:ascii="Helvetica" w:eastAsia="Times New Roman" w:hAnsi="Helvetica" w:cs="Times New Roman"/>
          <w:color w:val="333333"/>
        </w:rPr>
        <w:t>—the focal resource category in this study—are capabilities that leverage operand resources to create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Operant resources are </w:t>
      </w:r>
      <w:r w:rsidRPr="00782AD4">
        <w:rPr>
          <w:rFonts w:ascii="Helvetica" w:eastAsia="Times New Roman" w:hAnsi="Helvetica" w:cs="Times New Roman"/>
          <w:i/>
          <w:iCs/>
          <w:color w:val="333333"/>
          <w:bdr w:val="none" w:sz="0" w:space="0" w:color="auto" w:frame="1"/>
        </w:rPr>
        <w:t>hierarchical: basic operant resources</w:t>
      </w:r>
      <w:r w:rsidRPr="00782AD4">
        <w:rPr>
          <w:rFonts w:ascii="Helvetica" w:eastAsia="Times New Roman" w:hAnsi="Helvetica" w:cs="Times New Roman"/>
          <w:color w:val="333333"/>
        </w:rPr>
        <w:t> operate on operand resources, and </w:t>
      </w:r>
      <w:r w:rsidRPr="00782AD4">
        <w:rPr>
          <w:rFonts w:ascii="Helvetica" w:eastAsia="Times New Roman" w:hAnsi="Helvetica" w:cs="Times New Roman"/>
          <w:i/>
          <w:iCs/>
          <w:color w:val="333333"/>
          <w:bdr w:val="none" w:sz="0" w:space="0" w:color="auto" w:frame="1"/>
        </w:rPr>
        <w:t>composite operant resources</w:t>
      </w:r>
      <w:r w:rsidRPr="00782AD4">
        <w:rPr>
          <w:rFonts w:ascii="Helvetica" w:eastAsia="Times New Roman" w:hAnsi="Helvetica" w:cs="Times New Roman"/>
          <w:color w:val="333333"/>
        </w:rPr>
        <w:t> are comprised of two or more basic operant resources. This aligns with early work on hierarchical capability in an organization. Winter [92] proposed that zero-level capabilities permit a firm to create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in its present operational state using stationary processes. However, for sustained performance, a firm needs higher-order capabilities that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create, extend, or modify its lower-order capabilities [19]. Such capabilities are dynamic; they "govern the rate of change of ordinary capabilities" [92, p. 992].</w:t>
      </w:r>
    </w:p>
    <w:p w14:paraId="73748A5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lastRenderedPageBreak/>
        <w:t>Based on the theoretical foundations for the </w:t>
      </w:r>
      <w:r w:rsidRPr="00782AD4">
        <w:rPr>
          <w:rFonts w:ascii="Helvetica" w:eastAsia="Times New Roman" w:hAnsi="Helvetica" w:cs="Times New Roman"/>
          <w:i/>
          <w:iCs/>
          <w:color w:val="333333"/>
          <w:bdr w:val="none" w:sz="0" w:space="0" w:color="auto" w:frame="1"/>
        </w:rPr>
        <w:t>dynamic capability hierarchy</w:t>
      </w:r>
      <w:r w:rsidRPr="00782AD4">
        <w:rPr>
          <w:rFonts w:ascii="Helvetica" w:eastAsia="Times New Roman" w:hAnsi="Helvetica" w:cs="Times New Roman"/>
          <w:color w:val="333333"/>
        </w:rPr>
        <w:t> [92] and the </w:t>
      </w:r>
      <w:r w:rsidRPr="00782AD4">
        <w:rPr>
          <w:rFonts w:ascii="Helvetica" w:eastAsia="Times New Roman" w:hAnsi="Helvetica" w:cs="Times New Roman"/>
          <w:i/>
          <w:iCs/>
          <w:color w:val="333333"/>
          <w:bdr w:val="none" w:sz="0" w:space="0" w:color="auto" w:frame="1"/>
        </w:rPr>
        <w:t>operand-operant resources</w:t>
      </w:r>
      <w:r w:rsidRPr="00782AD4">
        <w:rPr>
          <w:rFonts w:ascii="Helvetica" w:eastAsia="Times New Roman" w:hAnsi="Helvetica" w:cs="Times New Roman"/>
          <w:color w:val="333333"/>
        </w:rPr>
        <w:t> [53] perspective, we develop a model and hypotheses that connect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capabilities to firm performance. We test the hypotheses based on data collected from a sample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user organizations in India. We find broad support for the model, discuss the results, and provide managerial implications and theoretical contributions. This study offers a new theoretical understanding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as a service-oriented model built on a hierarchy of resources. We use the research model to offer a new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appropriation path</w:t>
      </w:r>
      <w:r w:rsidRPr="00782AD4">
        <w:rPr>
          <w:rFonts w:ascii="Helvetica" w:eastAsia="Times New Roman" w:hAnsi="Helvetica" w:cs="Times New Roman"/>
          <w:color w:val="333333"/>
        </w:rPr>
        <w:t>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to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and appropriation.</w:t>
      </w:r>
    </w:p>
    <w:p w14:paraId="58ECF5F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The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appropriation path</w:t>
      </w:r>
      <w:r w:rsidRPr="00782AD4">
        <w:rPr>
          <w:rFonts w:ascii="Helvetica" w:eastAsia="Times New Roman" w:hAnsi="Helvetica" w:cs="Times New Roman"/>
          <w:color w:val="333333"/>
        </w:rPr>
        <w:t> that emerges from our analysis represents a more effective path for firms to follow in order to derive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from </w:t>
      </w:r>
      <w:r w:rsidRPr="00782AD4">
        <w:rPr>
          <w:rFonts w:ascii="Helvetica" w:eastAsia="Times New Roman" w:hAnsi="Helvetica" w:cs="Times New Roman"/>
          <w:b/>
          <w:bCs/>
          <w:color w:val="333333"/>
          <w:bdr w:val="none" w:sz="0" w:space="0" w:color="auto" w:frame="1"/>
        </w:rPr>
        <w:t>cloudcomputing</w:t>
      </w:r>
      <w:r w:rsidRPr="00782AD4">
        <w:rPr>
          <w:rFonts w:ascii="Helvetica" w:eastAsia="Times New Roman" w:hAnsi="Helvetica" w:cs="Times New Roman"/>
          <w:color w:val="333333"/>
        </w:rPr>
        <w:t>. This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appropriation path is along the lines of the suggestion in prior research that information and IT capabilities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pave specific paths to economic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[43]. The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appropriation path is not a temporal path, but a logical sequence of activities that draws from the capabilities of an organization to orchestrate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resources in a synchronized manner to create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It creates a new basis for managers to consider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to assess internal capabilities and to assess why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has not paid off to the expected extent. The strategic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appropriation path deepens managerial understanding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implementation corrections.</w:t>
      </w:r>
    </w:p>
    <w:p w14:paraId="15A4D907"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7" w:anchor="toc" w:tooltip="Prior Literature" w:history="1">
        <w:r w:rsidRPr="00782AD4">
          <w:rPr>
            <w:rFonts w:ascii="Helvetica" w:eastAsia="Times New Roman" w:hAnsi="Helvetica" w:cs="Times New Roman"/>
            <w:b/>
            <w:bCs/>
            <w:color w:val="005BC6"/>
            <w:bdr w:val="none" w:sz="0" w:space="0" w:color="auto" w:frame="1"/>
          </w:rPr>
          <w:t>Prior Literature</w:t>
        </w:r>
      </w:hyperlink>
    </w:p>
    <w:p w14:paraId="7026A24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This section covers three aspects of the literature for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operant resources-based view of capabilities. The hypotheses we will present later draw on literature related to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resource-based theory and its relationship to IT capabilities, and the formulation of the firm's capability hierarchy based on the operand-operant resources perspective.</w:t>
      </w:r>
    </w:p>
    <w:p w14:paraId="152C7B9A"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8" w:anchor="toc" w:tooltip="Cloud Computing" w:history="1">
        <w:r w:rsidRPr="00782AD4">
          <w:rPr>
            <w:rFonts w:ascii="Helvetica" w:eastAsia="Times New Roman" w:hAnsi="Helvetica" w:cs="Times New Roman"/>
            <w:b/>
            <w:bCs/>
            <w:color w:val="005BC6"/>
            <w:bdr w:val="none" w:sz="0" w:space="0" w:color="auto" w:frame="1"/>
          </w:rPr>
          <w:t>Cloud Computing</w:t>
        </w:r>
      </w:hyperlink>
    </w:p>
    <w:p w14:paraId="668E758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Related research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found in Information Systems (IS), Computer Science, and Strategic Management. We reviewed numerous articles on </w:t>
      </w:r>
      <w:r w:rsidRPr="00782AD4">
        <w:rPr>
          <w:rFonts w:ascii="Helvetica" w:eastAsia="Times New Roman" w:hAnsi="Helvetica" w:cs="Times New Roman"/>
          <w:b/>
          <w:bCs/>
          <w:color w:val="333333"/>
          <w:bdr w:val="none" w:sz="0" w:space="0" w:color="auto" w:frame="1"/>
        </w:rPr>
        <w:t>cloudcomputing</w:t>
      </w:r>
      <w:r w:rsidRPr="00782AD4">
        <w:rPr>
          <w:rFonts w:ascii="Helvetica" w:eastAsia="Times New Roman" w:hAnsi="Helvetica" w:cs="Times New Roman"/>
          <w:color w:val="333333"/>
        </w:rPr>
        <w:t> in the AIS Senior Scholar's Basket of eight journals, and </w:t>
      </w:r>
      <w:r w:rsidRPr="00782AD4">
        <w:rPr>
          <w:rFonts w:ascii="Helvetica" w:eastAsia="Times New Roman" w:hAnsi="Helvetica" w:cs="Times New Roman"/>
          <w:i/>
          <w:iCs/>
          <w:color w:val="333333"/>
          <w:bdr w:val="none" w:sz="0" w:space="0" w:color="auto" w:frame="1"/>
        </w:rPr>
        <w:t>MISQ Executive</w:t>
      </w:r>
      <w:r w:rsidRPr="00782AD4">
        <w:rPr>
          <w:rFonts w:ascii="Helvetica" w:eastAsia="Times New Roman" w:hAnsi="Helvetica" w:cs="Times New Roman"/>
          <w:color w:val="333333"/>
        </w:rPr>
        <w:t>, with a few articles from other outlets. Most studies were exploratory, descriptive, or based on cases, and not quantitative. We focus on studies of four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aspects: ( </w:t>
      </w:r>
      <w:hyperlink r:id="rId9" w:anchor="bib1" w:tooltip="1" w:history="1">
        <w:r w:rsidRPr="00782AD4">
          <w:rPr>
            <w:rFonts w:ascii="Helvetica" w:eastAsia="Times New Roman" w:hAnsi="Helvetica" w:cs="Times New Roman"/>
            <w:color w:val="005BC6"/>
            <w:bdr w:val="none" w:sz="0" w:space="0" w:color="auto" w:frame="1"/>
          </w:rPr>
          <w:t>1</w:t>
        </w:r>
      </w:hyperlink>
      <w:r w:rsidRPr="00782AD4">
        <w:rPr>
          <w:rFonts w:ascii="Helvetica" w:eastAsia="Times New Roman" w:hAnsi="Helvetica" w:cs="Times New Roman"/>
          <w:color w:val="333333"/>
        </w:rPr>
        <w:t>) technology; ( </w:t>
      </w:r>
      <w:hyperlink r:id="rId10" w:anchor="bib2" w:tooltip="2" w:history="1">
        <w:r w:rsidRPr="00782AD4">
          <w:rPr>
            <w:rFonts w:ascii="Helvetica" w:eastAsia="Times New Roman" w:hAnsi="Helvetica" w:cs="Times New Roman"/>
            <w:color w:val="005BC6"/>
            <w:bdr w:val="none" w:sz="0" w:space="0" w:color="auto" w:frame="1"/>
          </w:rPr>
          <w:t>2</w:t>
        </w:r>
      </w:hyperlink>
      <w:r w:rsidRPr="00782AD4">
        <w:rPr>
          <w:rFonts w:ascii="Helvetica" w:eastAsia="Times New Roman" w:hAnsi="Helvetica" w:cs="Times New Roman"/>
          <w:color w:val="333333"/>
        </w:rPr>
        <w:t>) services provisioning; ( </w:t>
      </w:r>
      <w:hyperlink r:id="rId11" w:anchor="bib3" w:tooltip="3" w:history="1">
        <w:r w:rsidRPr="00782AD4">
          <w:rPr>
            <w:rFonts w:ascii="Helvetica" w:eastAsia="Times New Roman" w:hAnsi="Helvetica" w:cs="Times New Roman"/>
            <w:color w:val="005BC6"/>
            <w:bdr w:val="none" w:sz="0" w:space="0" w:color="auto" w:frame="1"/>
          </w:rPr>
          <w:t>3</w:t>
        </w:r>
      </w:hyperlink>
      <w:r w:rsidRPr="00782AD4">
        <w:rPr>
          <w:rFonts w:ascii="Helvetica" w:eastAsia="Times New Roman" w:hAnsi="Helvetica" w:cs="Times New Roman"/>
          <w:color w:val="333333"/>
        </w:rPr>
        <w:t>) integration with other systems; and ( </w:t>
      </w:r>
      <w:hyperlink r:id="rId12" w:anchor="bib4" w:tooltip="4" w:history="1">
        <w:r w:rsidRPr="00782AD4">
          <w:rPr>
            <w:rFonts w:ascii="Helvetica" w:eastAsia="Times New Roman" w:hAnsi="Helvetica" w:cs="Times New Roman"/>
            <w:color w:val="005BC6"/>
            <w:bdr w:val="none" w:sz="0" w:space="0" w:color="auto" w:frame="1"/>
          </w:rPr>
          <w:t>4</w:t>
        </w:r>
      </w:hyperlink>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in the firm.</w:t>
      </w:r>
    </w:p>
    <w:p w14:paraId="023F607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Based on the technology and service provisioning aspects,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characteristics that help increase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are scalability, location independence, sourcing independence, ubiquitous access, and rapid elasticity [35, 36]. In some cases, the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proposition for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adoption is to mitigate management failures for on-premise applications [86]. Institutional influences, firm size, perceived benefits,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concerns, and IT capabilities are other determinants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adoption [72]. Still others are data security, technical competence, cost, and management support.</w:t>
      </w:r>
    </w:p>
    <w:p w14:paraId="54644CFB"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From a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perspective,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xml:space="preserve"> enables sense-and-respond strategies, such as dynamic resource commitment, modular process design, and operational learning. These strategies facilitate organizational transformation </w:t>
      </w:r>
      <w:r w:rsidRPr="00782AD4">
        <w:rPr>
          <w:rFonts w:ascii="Helvetica" w:eastAsia="Times New Roman" w:hAnsi="Helvetica" w:cs="Times New Roman"/>
          <w:color w:val="333333"/>
        </w:rPr>
        <w:lastRenderedPageBreak/>
        <w:t>through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process and network redesign, and scope redefinition [ </w:t>
      </w:r>
      <w:hyperlink r:id="rId13" w:anchor="bib5" w:tooltip="5" w:history="1">
        <w:r w:rsidRPr="00782AD4">
          <w:rPr>
            <w:rFonts w:ascii="Helvetica" w:eastAsia="Times New Roman" w:hAnsi="Helvetica" w:cs="Times New Roman"/>
            <w:color w:val="005BC6"/>
            <w:bdr w:val="none" w:sz="0" w:space="0" w:color="auto" w:frame="1"/>
          </w:rPr>
          <w:t>5</w:t>
        </w:r>
      </w:hyperlink>
      <w:r w:rsidRPr="00782AD4">
        <w:rPr>
          <w:rFonts w:ascii="Helvetica" w:eastAsia="Times New Roman" w:hAnsi="Helvetica" w:cs="Times New Roman"/>
          <w:color w:val="333333"/>
        </w:rPr>
        <w:t>]. These higher-level changes positively influence firm performance through better quality and innovativeness, as well as cost and time savings. Firms also derive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through interactions between their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delivery models and IT capabilities, such as relational and technical IT capabilities [27]. Customizability, interconnectivity, and alignment also facilitate competitive advantage by enhancing innovation and collaboration with partners. Prior theory suggests </w:t>
      </w:r>
      <w:r w:rsidRPr="00782AD4">
        <w:rPr>
          <w:rFonts w:ascii="Helvetica" w:eastAsia="Times New Roman" w:hAnsi="Helvetica" w:cs="Times New Roman"/>
          <w:b/>
          <w:bCs/>
          <w:color w:val="333333"/>
          <w:bdr w:val="none" w:sz="0" w:space="0" w:color="auto" w:frame="1"/>
        </w:rPr>
        <w:t>cloudcomputing</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influence the structure of the firm's IT as a profit or cost center [17], as well as influence market structure, firm profitability, and consumer welfare [14].</w:t>
      </w:r>
    </w:p>
    <w:p w14:paraId="26EA2948"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review of the four substreams of literature suggests that the integration and information management challenges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adoption in firms deserve more attention. This is important because of the complexities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delivery, and the options that </w:t>
      </w:r>
      <w:r w:rsidRPr="00782AD4">
        <w:rPr>
          <w:rFonts w:ascii="Helvetica" w:eastAsia="Times New Roman" w:hAnsi="Helvetica" w:cs="Times New Roman"/>
          <w:b/>
          <w:bCs/>
          <w:color w:val="333333"/>
          <w:bdr w:val="none" w:sz="0" w:space="0" w:color="auto" w:frame="1"/>
        </w:rPr>
        <w:t>businesses</w:t>
      </w:r>
      <w:r w:rsidRPr="00782AD4">
        <w:rPr>
          <w:rFonts w:ascii="Helvetica" w:eastAsia="Times New Roman" w:hAnsi="Helvetica" w:cs="Times New Roman"/>
          <w:color w:val="333333"/>
        </w:rPr>
        <w:t> have in its adoption. In contrast, the practitioner press recognizes the lack of infrastructure integration with other systems in the organization—leading to data silos—as a challenge [50]. Thus, it is critical to understand the impact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functionality and services utilization on firm performance. This encourages researchers to create new theory and test mechanisms underlying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leads to performance. To understand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integrated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capabilities influence firm performance, we draw on the IT capabilities perspective.</w:t>
      </w:r>
    </w:p>
    <w:p w14:paraId="003E6F73"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14" w:anchor="toc" w:tooltip="Resource-Based Theory and IT Capabilities" w:history="1">
        <w:r w:rsidRPr="00782AD4">
          <w:rPr>
            <w:rFonts w:ascii="Helvetica" w:eastAsia="Times New Roman" w:hAnsi="Helvetica" w:cs="Times New Roman"/>
            <w:b/>
            <w:bCs/>
            <w:color w:val="005BC6"/>
            <w:bdr w:val="none" w:sz="0" w:space="0" w:color="auto" w:frame="1"/>
          </w:rPr>
          <w:t>Resource-Based Theory and IT Capabilities</w:t>
        </w:r>
      </w:hyperlink>
    </w:p>
    <w:p w14:paraId="76463C68"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Prior studies indicate that firms leverage two strategic mechanisms: capability building and resource selection for creating economic rent [54]. </w:t>
      </w:r>
      <w:r w:rsidRPr="00782AD4">
        <w:rPr>
          <w:rFonts w:ascii="Helvetica" w:eastAsia="Times New Roman" w:hAnsi="Helvetica" w:cs="Times New Roman"/>
          <w:i/>
          <w:iCs/>
          <w:color w:val="333333"/>
          <w:bdr w:val="none" w:sz="0" w:space="0" w:color="auto" w:frame="1"/>
        </w:rPr>
        <w:t>Capability-building</w:t>
      </w:r>
      <w:r w:rsidRPr="00782AD4">
        <w:rPr>
          <w:rFonts w:ascii="Helvetica" w:eastAsia="Times New Roman" w:hAnsi="Helvetica" w:cs="Times New Roman"/>
          <w:color w:val="333333"/>
        </w:rPr>
        <w:t> refers to the ability to integrate, build, and reconfigure internal and external resources to create unique competencies. These capabilities are embedded, making them valuable and inimitable, and superior to resources alone as drivers of long-term performance [ </w:t>
      </w:r>
      <w:hyperlink r:id="rId15" w:anchor="bib8" w:tooltip="8" w:history="1">
        <w:r w:rsidRPr="00782AD4">
          <w:rPr>
            <w:rFonts w:ascii="Helvetica" w:eastAsia="Times New Roman" w:hAnsi="Helvetica" w:cs="Times New Roman"/>
            <w:color w:val="005BC6"/>
            <w:bdr w:val="none" w:sz="0" w:space="0" w:color="auto" w:frame="1"/>
          </w:rPr>
          <w:t>8</w:t>
        </w:r>
      </w:hyperlink>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Resource selection mechanisms</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create competitive advantage when firms apply superior information and knowledge with their resources and build capabilities [54].</w:t>
      </w:r>
    </w:p>
    <w:p w14:paraId="7F88535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Firms are diverse and differ widely in developing unique resources involving IT-based assets and capabilities [89, 90]. Prior studies have indicated that the impact of IT capabilities occurs at the level of organizational processes that use IT resources, data assets, and portfolios [13, 38], and yet IT infrastructure is not sufficient to explain firm success. Firm success depends on abilities to: ( </w:t>
      </w:r>
      <w:hyperlink r:id="rId16" w:anchor="bib1" w:tooltip="1" w:history="1">
        <w:r w:rsidRPr="00782AD4">
          <w:rPr>
            <w:rFonts w:ascii="Helvetica" w:eastAsia="Times New Roman" w:hAnsi="Helvetica" w:cs="Times New Roman"/>
            <w:color w:val="005BC6"/>
            <w:bdr w:val="none" w:sz="0" w:space="0" w:color="auto" w:frame="1"/>
          </w:rPr>
          <w:t>1</w:t>
        </w:r>
      </w:hyperlink>
      <w:r w:rsidRPr="00782AD4">
        <w:rPr>
          <w:rFonts w:ascii="Helvetica" w:eastAsia="Times New Roman" w:hAnsi="Helvetica" w:cs="Times New Roman"/>
          <w:color w:val="333333"/>
        </w:rPr>
        <w:t>) effectively manage IT infrastructure to support operations, processes, innovation and decision-making; ( </w:t>
      </w:r>
      <w:hyperlink r:id="rId17" w:anchor="bib2" w:tooltip="2" w:history="1">
        <w:r w:rsidRPr="00782AD4">
          <w:rPr>
            <w:rFonts w:ascii="Helvetica" w:eastAsia="Times New Roman" w:hAnsi="Helvetica" w:cs="Times New Roman"/>
            <w:color w:val="005BC6"/>
            <w:bdr w:val="none" w:sz="0" w:space="0" w:color="auto" w:frame="1"/>
          </w:rPr>
          <w:t>2</w:t>
        </w:r>
      </w:hyperlink>
      <w:r w:rsidRPr="00782AD4">
        <w:rPr>
          <w:rFonts w:ascii="Helvetica" w:eastAsia="Times New Roman" w:hAnsi="Helvetica" w:cs="Times New Roman"/>
          <w:color w:val="333333"/>
        </w:rPr>
        <w:t>) develop information management processes to gather, organize, and disseminate information; and ( </w:t>
      </w:r>
      <w:hyperlink r:id="rId18" w:anchor="bib3" w:tooltip="3" w:history="1">
        <w:r w:rsidRPr="00782AD4">
          <w:rPr>
            <w:rFonts w:ascii="Helvetica" w:eastAsia="Times New Roman" w:hAnsi="Helvetica" w:cs="Times New Roman"/>
            <w:color w:val="005BC6"/>
            <w:bdr w:val="none" w:sz="0" w:space="0" w:color="auto" w:frame="1"/>
          </w:rPr>
          <w:t>3</w:t>
        </w:r>
      </w:hyperlink>
      <w:r w:rsidRPr="00782AD4">
        <w:rPr>
          <w:rFonts w:ascii="Helvetica" w:eastAsia="Times New Roman" w:hAnsi="Helvetica" w:cs="Times New Roman"/>
          <w:color w:val="333333"/>
        </w:rPr>
        <w:t>) instill </w:t>
      </w:r>
      <w:r w:rsidRPr="00782AD4">
        <w:rPr>
          <w:rFonts w:ascii="Helvetica" w:eastAsia="Times New Roman" w:hAnsi="Helvetica" w:cs="Times New Roman"/>
          <w:b/>
          <w:bCs/>
          <w:color w:val="333333"/>
          <w:bdr w:val="none" w:sz="0" w:space="0" w:color="auto" w:frame="1"/>
        </w:rPr>
        <w:t>values</w:t>
      </w:r>
      <w:r w:rsidRPr="00782AD4">
        <w:rPr>
          <w:rFonts w:ascii="Helvetica" w:eastAsia="Times New Roman" w:hAnsi="Helvetica" w:cs="Times New Roman"/>
          <w:color w:val="333333"/>
        </w:rPr>
        <w:t> for effective use of information [55]. Although IT infrastructure provides a foundation and acts as a precursor for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the firm's </w:t>
      </w:r>
      <w:r w:rsidRPr="00782AD4">
        <w:rPr>
          <w:rFonts w:ascii="Helvetica" w:eastAsia="Times New Roman" w:hAnsi="Helvetica" w:cs="Times New Roman"/>
          <w:i/>
          <w:iCs/>
          <w:color w:val="333333"/>
          <w:bdr w:val="none" w:sz="0" w:space="0" w:color="auto" w:frame="1"/>
        </w:rPr>
        <w:t>information management capability</w:t>
      </w:r>
      <w:r w:rsidRPr="00782AD4">
        <w:rPr>
          <w:rFonts w:ascii="Helvetica" w:eastAsia="Times New Roman" w:hAnsi="Helvetica" w:cs="Times New Roman"/>
          <w:color w:val="333333"/>
        </w:rPr>
        <w:t>, the "ability of firms to leverage their IT infrastructure to provide accurate, timely and reliable data and information to users" [59, p. 238] is a key factor.</w:t>
      </w:r>
    </w:p>
    <w:p w14:paraId="2BF359D3"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use the </w:t>
      </w:r>
      <w:r w:rsidRPr="00782AD4">
        <w:rPr>
          <w:rFonts w:ascii="Helvetica" w:eastAsia="Times New Roman" w:hAnsi="Helvetica" w:cs="Times New Roman"/>
          <w:i/>
          <w:iCs/>
          <w:color w:val="333333"/>
          <w:bdr w:val="none" w:sz="0" w:space="0" w:color="auto" w:frame="1"/>
        </w:rPr>
        <w:t>resource-based view</w:t>
      </w:r>
      <w:r w:rsidRPr="00782AD4">
        <w:rPr>
          <w:rFonts w:ascii="Helvetica" w:eastAsia="Times New Roman" w:hAnsi="Helvetica" w:cs="Times New Roman"/>
          <w:color w:val="333333"/>
        </w:rPr>
        <w:t> (RBV) and IT capabilities literature, which we describe next, to support our model. We propose that the firm needs to effectively deploy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and develop different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xml:space="preserve">-enabled capabilities to achieve </w:t>
      </w:r>
      <w:r w:rsidRPr="00782AD4">
        <w:rPr>
          <w:rFonts w:ascii="Helvetica" w:eastAsia="Times New Roman" w:hAnsi="Helvetica" w:cs="Times New Roman"/>
          <w:color w:val="333333"/>
        </w:rPr>
        <w:lastRenderedPageBreak/>
        <w:t>desired outcomes and appropriate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By applying the concepts of operand and operant resources [20, 53] to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context, we offer a new foundation.</w:t>
      </w:r>
    </w:p>
    <w:p w14:paraId="31C9C64D"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19" w:anchor="toc" w:tooltip="Capability Hierarchy Based on Operand-Operant Resources" w:history="1">
        <w:r w:rsidRPr="00782AD4">
          <w:rPr>
            <w:rFonts w:ascii="Helvetica" w:eastAsia="Times New Roman" w:hAnsi="Helvetica" w:cs="Times New Roman"/>
            <w:b/>
            <w:bCs/>
            <w:color w:val="005BC6"/>
            <w:bdr w:val="none" w:sz="0" w:space="0" w:color="auto" w:frame="1"/>
          </w:rPr>
          <w:t>Capability Hierarchy Based on Operand-Operant Resources</w:t>
        </w:r>
      </w:hyperlink>
    </w:p>
    <w:p w14:paraId="24C938D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Two aspects of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model motivated our theory work. First, for resource deployment and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a challenge is that the firm which deploys and manages resources is different from the firm that leverages them. While the client as a consumer leverages resources to consume services, the provider deploys resources and builds its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around them to create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[23].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services provider is responsible for various IT activities, such as hardware and software installation, upgrades, and data storage [27]. Second,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resources deployed by the provider need to synchronize and integrate with the client's technology resources to enable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capabilities and generate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through the service-</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delivery model. Thus, resource deployment, synchronization, integration, and service orientation are essential.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technology resources cannot create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by themselves for the client; they require that the integrated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model and service orientation of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architecture are effective.</w:t>
      </w:r>
    </w:p>
    <w:p w14:paraId="5697354C"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develop our research model by drawing on two theoretical concepts that are related and conceptually build on each other. First, we utilize the </w:t>
      </w:r>
      <w:r w:rsidRPr="00782AD4">
        <w:rPr>
          <w:rFonts w:ascii="Helvetica" w:eastAsia="Times New Roman" w:hAnsi="Helvetica" w:cs="Times New Roman"/>
          <w:i/>
          <w:iCs/>
          <w:color w:val="333333"/>
          <w:bdr w:val="none" w:sz="0" w:space="0" w:color="auto" w:frame="1"/>
        </w:rPr>
        <w:t>dynamic capability hierarchy</w:t>
      </w:r>
      <w:r w:rsidRPr="00782AD4">
        <w:rPr>
          <w:rFonts w:ascii="Helvetica" w:eastAsia="Times New Roman" w:hAnsi="Helvetica" w:cs="Times New Roman"/>
          <w:color w:val="333333"/>
        </w:rPr>
        <w:t> concept [19, 92] and apply it to the context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based on the premise that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implementations must dynamically engage firm resources to create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[29]. Winter [92] conceptualized a hierarchy of capabilities that firms possess. The lower-order capabilities are firm competencies that provide firms with basic capabilities. Lower-order capabilities only "perform basic functional activities" [19, p. 145]. What firms need to develop are higher-order capabilities that operate to extend ordinary capabilities and "govern the rate of change of ordinary capabilities" [92, p. 992]. Dynamic capabilities thus reflect the firm's ability to integrate, build, and reconfigure tangible and intangible assets [82]. The </w:t>
      </w:r>
      <w:r w:rsidRPr="00782AD4">
        <w:rPr>
          <w:rFonts w:ascii="Helvetica" w:eastAsia="Times New Roman" w:hAnsi="Helvetica" w:cs="Times New Roman"/>
          <w:i/>
          <w:iCs/>
          <w:color w:val="333333"/>
          <w:bdr w:val="none" w:sz="0" w:space="0" w:color="auto" w:frame="1"/>
        </w:rPr>
        <w:t>capability hierarchy perspective</w:t>
      </w:r>
      <w:r w:rsidRPr="00782AD4">
        <w:rPr>
          <w:rFonts w:ascii="Helvetica" w:eastAsia="Times New Roman" w:hAnsi="Helvetica" w:cs="Times New Roman"/>
          <w:color w:val="333333"/>
        </w:rPr>
        <w:t> suggests that development of hierarchical capabilities enables firms to achieve high performance outcomes.</w:t>
      </w:r>
    </w:p>
    <w:p w14:paraId="01E49B9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Second, we apply the concept of </w:t>
      </w:r>
      <w:r w:rsidRPr="00782AD4">
        <w:rPr>
          <w:rFonts w:ascii="Helvetica" w:eastAsia="Times New Roman" w:hAnsi="Helvetica" w:cs="Times New Roman"/>
          <w:i/>
          <w:iCs/>
          <w:color w:val="333333"/>
          <w:bdr w:val="none" w:sz="0" w:space="0" w:color="auto" w:frame="1"/>
        </w:rPr>
        <w:t>operand and operant resources</w:t>
      </w:r>
      <w:r w:rsidRPr="00782AD4">
        <w:rPr>
          <w:rFonts w:ascii="Helvetica" w:eastAsia="Times New Roman" w:hAnsi="Helvetica" w:cs="Times New Roman"/>
          <w:color w:val="333333"/>
        </w:rPr>
        <w:t> [53]. Such resources are hierarchical: they leverage one another to create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Operand resources</w:t>
      </w:r>
      <w:r w:rsidRPr="00782AD4">
        <w:rPr>
          <w:rFonts w:ascii="Helvetica" w:eastAsia="Times New Roman" w:hAnsi="Helvetica" w:cs="Times New Roman"/>
          <w:color w:val="333333"/>
        </w:rPr>
        <w:t> are physical resources upon which an act or operation is performed; whereas, </w:t>
      </w:r>
      <w:r w:rsidRPr="00782AD4">
        <w:rPr>
          <w:rFonts w:ascii="Helvetica" w:eastAsia="Times New Roman" w:hAnsi="Helvetica" w:cs="Times New Roman"/>
          <w:i/>
          <w:iCs/>
          <w:color w:val="333333"/>
          <w:bdr w:val="none" w:sz="0" w:space="0" w:color="auto" w:frame="1"/>
        </w:rPr>
        <w:t>operant resources</w:t>
      </w:r>
      <w:r w:rsidRPr="00782AD4">
        <w:rPr>
          <w:rFonts w:ascii="Helvetica" w:eastAsia="Times New Roman" w:hAnsi="Helvetica" w:cs="Times New Roman"/>
          <w:color w:val="333333"/>
        </w:rPr>
        <w:t> leverage operand resources to create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Madhavaram and Hunt [53] discuss a </w:t>
      </w:r>
      <w:r w:rsidRPr="00782AD4">
        <w:rPr>
          <w:rFonts w:ascii="Helvetica" w:eastAsia="Times New Roman" w:hAnsi="Helvetica" w:cs="Times New Roman"/>
          <w:i/>
          <w:iCs/>
          <w:color w:val="333333"/>
          <w:bdr w:val="none" w:sz="0" w:space="0" w:color="auto" w:frame="1"/>
        </w:rPr>
        <w:t>hierarchy of operant resources</w:t>
      </w:r>
      <w:r w:rsidRPr="00782AD4">
        <w:rPr>
          <w:rFonts w:ascii="Helvetica" w:eastAsia="Times New Roman" w:hAnsi="Helvetica" w:cs="Times New Roman"/>
          <w:color w:val="333333"/>
        </w:rPr>
        <w:t> (basic, composite, and interconnected operant resources) that act on operand resources or other operant resources to create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According to Madhavaram and Hunt [53, p. 67], "competences, capabilities, and dynamic capabilities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viewed as operant resources." Thus, this is consistent with the capability hierarchy perspective [92], and together they serve as a useful theoretical grounding to build our research model. In line with this view of the hierarchy of capabilities and the conceptualization of operand-operant resources,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-related capabilities are operant resources, an extended representation of hierarchical dynamic capabilities [33].</w:t>
      </w:r>
    </w:p>
    <w:p w14:paraId="3A320124"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20" w:anchor="toc" w:tooltip="Theoretical Conceptualization, Research Model, and Hypotheses" w:history="1">
        <w:r w:rsidRPr="00782AD4">
          <w:rPr>
            <w:rFonts w:ascii="Helvetica" w:eastAsia="Times New Roman" w:hAnsi="Helvetica" w:cs="Times New Roman"/>
            <w:b/>
            <w:bCs/>
            <w:color w:val="005BC6"/>
            <w:bdr w:val="none" w:sz="0" w:space="0" w:color="auto" w:frame="1"/>
          </w:rPr>
          <w:t>Theoretical Conceptualization, Research Model, and Hypotheses</w:t>
        </w:r>
      </w:hyperlink>
    </w:p>
    <w:p w14:paraId="2B62A3A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lastRenderedPageBreak/>
        <w:t>We next discuss our theoretical basis for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operant resources view that we offer to create the basis for our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appropriation path model, and the underlying hypotheses.</w:t>
      </w:r>
    </w:p>
    <w:p w14:paraId="022C81BB"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21" w:anchor="toc" w:tooltip="Conceptualizing the Theoretical Argument Involving Cloud Operant Resources" w:history="1">
        <w:r w:rsidRPr="00782AD4">
          <w:rPr>
            <w:rFonts w:ascii="Helvetica" w:eastAsia="Times New Roman" w:hAnsi="Helvetica" w:cs="Times New Roman"/>
            <w:b/>
            <w:bCs/>
            <w:color w:val="005BC6"/>
            <w:bdr w:val="none" w:sz="0" w:space="0" w:color="auto" w:frame="1"/>
          </w:rPr>
          <w:t>Conceptualizing the Theoretical Argument Involving Cloud Operant Resources</w:t>
        </w:r>
      </w:hyperlink>
    </w:p>
    <w:p w14:paraId="00798A6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To conceptualize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operant resources, we draw upon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and practitioner literature. For the technological aspect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we contend that it is not simply deployment that matters, but rather the extent to which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is effectively deployed such that firms are able to leverage its defining characteristics. This enables architectural modularity and infrastructure flexibility [57], represented by distinctive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characteristics. They include resource pooling, interoperability, and provisioning [58]. However, although many firms may deploy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technology, firms differ in the extent to which they lever the defining characteristics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from its underlying technology. For instance, each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offering has its own set of rules regarding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clients' applications and users interact with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implementation [63]. Lacking process standardization hinders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ecosystem development and impacts the optimization of resources within an organization. Thus, firms may experience varying levels of interoperability, depending on the skills with which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was deployed [ </w:t>
      </w:r>
      <w:hyperlink r:id="rId22" w:anchor="bib7" w:tooltip="7" w:history="1">
        <w:r w:rsidRPr="00782AD4">
          <w:rPr>
            <w:rFonts w:ascii="Helvetica" w:eastAsia="Times New Roman" w:hAnsi="Helvetica" w:cs="Times New Roman"/>
            <w:color w:val="005BC6"/>
            <w:bdr w:val="none" w:sz="0" w:space="0" w:color="auto" w:frame="1"/>
          </w:rPr>
          <w:t>7</w:t>
        </w:r>
      </w:hyperlink>
      <w:r w:rsidRPr="00782AD4">
        <w:rPr>
          <w:rFonts w:ascii="Helvetica" w:eastAsia="Times New Roman" w:hAnsi="Helvetica" w:cs="Times New Roman"/>
          <w:color w:val="333333"/>
        </w:rPr>
        <w:t>, 57].</w:t>
      </w:r>
    </w:p>
    <w:p w14:paraId="51C02083"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conceptualize the first level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resources as a </w:t>
      </w:r>
      <w:r w:rsidRPr="00782AD4">
        <w:rPr>
          <w:rFonts w:ascii="Helvetica" w:eastAsia="Times New Roman" w:hAnsi="Helvetica" w:cs="Times New Roman"/>
          <w:i/>
          <w:iCs/>
          <w:color w:val="333333"/>
          <w:bdr w:val="none" w:sz="0" w:space="0" w:color="auto" w:frame="1"/>
        </w:rPr>
        <w:t>basic operant resource</w:t>
      </w:r>
      <w:r w:rsidRPr="00782AD4">
        <w:rPr>
          <w:rFonts w:ascii="Helvetica" w:eastAsia="Times New Roman" w:hAnsi="Helvetica" w:cs="Times New Roman"/>
          <w:color w:val="333333"/>
        </w:rPr>
        <w:t>. "[A]n entity is a resource to the firm if, and only if, it contributes to enabling the firm to produce efficiently and/or effectively a market offering that has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for some market segment(s). [So] basic operant resources may be viewed as the underlying, lower-level, resources that form building blocks of higher-order, operant resources" [53, p. 70]. Such resources may be skills and knowledge of individual employees, or their application in a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context. The capabilities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architecture (e.g., resource pooling, elasticity, provisioning) result from such skills and knowledge applied to the operand resource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technology.</w:t>
      </w:r>
    </w:p>
    <w:p w14:paraId="52AC12C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This resource is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Technological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It is a basic operant resource because it acts on the operand resource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technology, and it is not comprised of other operant resources. We define it as the capacity of a firm to deploy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platforms that are available on-demand via the Internet to serve consumers via pooling of resources in a manner that is scalable and measurable. This capability is formative and encapsulates essential characteristics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on-demand, broad network access, resource pooling, rapid elasticity, and measured service [58]. This capability reflects the quality of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infrastructure for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stable, scalable, and extensible it is.</w:t>
      </w:r>
    </w:p>
    <w:p w14:paraId="2E5A520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The second level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resources is the </w:t>
      </w:r>
      <w:r w:rsidRPr="00782AD4">
        <w:rPr>
          <w:rFonts w:ascii="Helvetica" w:eastAsia="Times New Roman" w:hAnsi="Helvetica" w:cs="Times New Roman"/>
          <w:i/>
          <w:iCs/>
          <w:color w:val="333333"/>
          <w:bdr w:val="none" w:sz="0" w:space="0" w:color="auto" w:frame="1"/>
        </w:rPr>
        <w:t>composite operant resource</w:t>
      </w:r>
      <w:r w:rsidRPr="00782AD4">
        <w:rPr>
          <w:rFonts w:ascii="Helvetica" w:eastAsia="Times New Roman" w:hAnsi="Helvetica" w:cs="Times New Roman"/>
          <w:color w:val="333333"/>
        </w:rPr>
        <w:t>, "a combination of two or more distinct, basic resources, with low levels of interactivity, that ... enable the firm to produce ... valued market offerings. The lower-order resources (basic operant resources) collectively comprise the (composite) operant resources. [M]ore of each of the lower-order resources ... will contribute to increasing a firm's composite, operant resource" [53, p. 70].[ </w:t>
      </w:r>
      <w:hyperlink r:id="rId23" w:anchor="bib2" w:tooltip="2" w:history="1">
        <w:r w:rsidRPr="00782AD4">
          <w:rPr>
            <w:rFonts w:ascii="Helvetica" w:eastAsia="Times New Roman" w:hAnsi="Helvetica" w:cs="Times New Roman"/>
            <w:color w:val="005BC6"/>
            <w:bdr w:val="none" w:sz="0" w:space="0" w:color="auto" w:frame="1"/>
          </w:rPr>
          <w:t>2</w:t>
        </w:r>
      </w:hyperlink>
      <w:r w:rsidRPr="00782AD4">
        <w:rPr>
          <w:rFonts w:ascii="Helvetica" w:eastAsia="Times New Roman" w:hAnsi="Helvetica" w:cs="Times New Roman"/>
          <w:color w:val="333333"/>
        </w:rPr>
        <w:t>]</w:t>
      </w:r>
    </w:p>
    <w:p w14:paraId="5A09FE02"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Consistent with composite operant capabilities, we define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Integration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as the ability of a firm to maintain consistency between its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w:t>
      </w:r>
      <w:r w:rsidRPr="00782AD4">
        <w:rPr>
          <w:rFonts w:ascii="Helvetica" w:eastAsia="Times New Roman" w:hAnsi="Helvetica" w:cs="Times New Roman"/>
          <w:color w:val="333333"/>
        </w:rPr>
        <w:lastRenderedPageBreak/>
        <w:t>enabled functionality and data, and legacy system functionality and data. It represents the degree to which a firm's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functionality and data are synchronized and integrated consistent with its legacy IT systems. This definition uses data consistency and cross-functional application systems integration concepts [67] but is adapted for our context. Composite operant resources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formatively specified as a combination of basic operant resources [53].</w:t>
      </w:r>
    </w:p>
    <w:p w14:paraId="4C626B4B"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offer two related basic operant resources based on the salient characteristics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models [ </w:t>
      </w:r>
      <w:hyperlink r:id="rId24" w:anchor="bib5" w:tooltip="5" w:history="1">
        <w:r w:rsidRPr="00782AD4">
          <w:rPr>
            <w:rFonts w:ascii="Helvetica" w:eastAsia="Times New Roman" w:hAnsi="Helvetica" w:cs="Times New Roman"/>
            <w:color w:val="005BC6"/>
            <w:bdr w:val="none" w:sz="0" w:space="0" w:color="auto" w:frame="1"/>
          </w:rPr>
          <w:t>5</w:t>
        </w:r>
      </w:hyperlink>
      <w:r w:rsidRPr="00782AD4">
        <w:rPr>
          <w:rFonts w:ascii="Helvetica" w:eastAsia="Times New Roman" w:hAnsi="Helvetica" w:cs="Times New Roman"/>
          <w:color w:val="333333"/>
        </w:rPr>
        <w:t>, 58]. First,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solutions are implemented by vendors and accessed at client sites, so an important consideration is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is synchronized and made consistent with legacy applications for the client. It needs to retain its in-house IT assets associated with its core competencies (e.g., an ERP system) while utilizing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options for other functions. Frequent communications between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applications and on-premise systems are required to run the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effectively. However, if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service provider uses proprietary interfaces and has complex data structures that do not align well with in-house IT systems, it will lead to difficulties impacting data integration and functionality.</w:t>
      </w:r>
    </w:p>
    <w:p w14:paraId="76BAEA8B"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A basic operant resource is the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Legacy Consistency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CLCC</w:t>
      </w:r>
      <w:r w:rsidRPr="00782AD4">
        <w:rPr>
          <w:rFonts w:ascii="Helvetica" w:eastAsia="Times New Roman" w:hAnsi="Helvetica" w:cs="Times New Roman"/>
          <w:color w:val="333333"/>
        </w:rPr>
        <w:t>) of the firm. It is defined as the degree to which application functionality and application data elements are common across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and legacy applications in the firm. We refer to the second of these as the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Legacy Synchronization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CLSC</w:t>
      </w:r>
      <w:r w:rsidRPr="00782AD4">
        <w:rPr>
          <w:rFonts w:ascii="Helvetica" w:eastAsia="Times New Roman" w:hAnsi="Helvetica" w:cs="Times New Roman"/>
          <w:color w:val="333333"/>
        </w:rPr>
        <w:t>) of the firm and define it as the degree to which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and legacy functionality and application data are updated and synchronized with each other in real time. Thus, </w:t>
      </w:r>
      <w:r w:rsidRPr="00782AD4">
        <w:rPr>
          <w:rFonts w:ascii="Helvetica" w:eastAsia="Times New Roman" w:hAnsi="Helvetica" w:cs="Times New Roman"/>
          <w:i/>
          <w:iCs/>
          <w:color w:val="333333"/>
          <w:bdr w:val="none" w:sz="0" w:space="0" w:color="auto" w:frame="1"/>
        </w:rPr>
        <w:t>CLCC</w:t>
      </w:r>
      <w:r w:rsidRPr="00782AD4">
        <w:rPr>
          <w:rFonts w:ascii="Helvetica" w:eastAsia="Times New Roman" w:hAnsi="Helvetica" w:cs="Times New Roman"/>
          <w:color w:val="333333"/>
        </w:rPr>
        <w:t> is distinct from </w:t>
      </w:r>
      <w:r w:rsidRPr="00782AD4">
        <w:rPr>
          <w:rFonts w:ascii="Helvetica" w:eastAsia="Times New Roman" w:hAnsi="Helvetica" w:cs="Times New Roman"/>
          <w:i/>
          <w:iCs/>
          <w:color w:val="333333"/>
          <w:bdr w:val="none" w:sz="0" w:space="0" w:color="auto" w:frame="1"/>
        </w:rPr>
        <w:t>CLSC</w:t>
      </w:r>
      <w:r w:rsidRPr="00782AD4">
        <w:rPr>
          <w:rFonts w:ascii="Helvetica" w:eastAsia="Times New Roman" w:hAnsi="Helvetica" w:cs="Times New Roman"/>
          <w:color w:val="333333"/>
        </w:rPr>
        <w:t> in that </w:t>
      </w:r>
      <w:r w:rsidRPr="00782AD4">
        <w:rPr>
          <w:rFonts w:ascii="Helvetica" w:eastAsia="Times New Roman" w:hAnsi="Helvetica" w:cs="Times New Roman"/>
          <w:i/>
          <w:iCs/>
          <w:color w:val="333333"/>
          <w:bdr w:val="none" w:sz="0" w:space="0" w:color="auto" w:frame="1"/>
        </w:rPr>
        <w:t>CLCC</w:t>
      </w:r>
      <w:r w:rsidRPr="00782AD4">
        <w:rPr>
          <w:rFonts w:ascii="Helvetica" w:eastAsia="Times New Roman" w:hAnsi="Helvetica" w:cs="Times New Roman"/>
          <w:color w:val="333333"/>
        </w:rPr>
        <w:t> pertains to definitions of functional and data elements; whereas, </w:t>
      </w:r>
      <w:r w:rsidRPr="00782AD4">
        <w:rPr>
          <w:rFonts w:ascii="Helvetica" w:eastAsia="Times New Roman" w:hAnsi="Helvetica" w:cs="Times New Roman"/>
          <w:i/>
          <w:iCs/>
          <w:color w:val="333333"/>
          <w:bdr w:val="none" w:sz="0" w:space="0" w:color="auto" w:frame="1"/>
        </w:rPr>
        <w:t>CLSC</w:t>
      </w:r>
      <w:r w:rsidRPr="00782AD4">
        <w:rPr>
          <w:rFonts w:ascii="Helvetica" w:eastAsia="Times New Roman" w:hAnsi="Helvetica" w:cs="Times New Roman"/>
          <w:color w:val="333333"/>
        </w:rPr>
        <w:t> pertains to real-time updates and synchronization between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and legacy systems. The </w:t>
      </w:r>
      <w:r w:rsidRPr="00782AD4">
        <w:rPr>
          <w:rFonts w:ascii="Helvetica" w:eastAsia="Times New Roman" w:hAnsi="Helvetica" w:cs="Times New Roman"/>
          <w:i/>
          <w:iCs/>
          <w:color w:val="333333"/>
          <w:bdr w:val="none" w:sz="0" w:space="0" w:color="auto" w:frame="1"/>
        </w:rPr>
        <w:t>CLCC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CLSC</w:t>
      </w:r>
      <w:r w:rsidRPr="00782AD4">
        <w:rPr>
          <w:rFonts w:ascii="Helvetica" w:eastAsia="Times New Roman" w:hAnsi="Helvetica" w:cs="Times New Roman"/>
          <w:color w:val="333333"/>
        </w:rPr>
        <w:t> basic operant resources together equip the firm with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 composite operant resource which creates the capacity to make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work well with legacy applications.</w:t>
      </w:r>
    </w:p>
    <w:p w14:paraId="7BC4CF9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note another basic operant resource: the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Service Offerings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CSOC</w:t>
      </w:r>
      <w:r w:rsidRPr="00782AD4">
        <w:rPr>
          <w:rFonts w:ascii="Helvetica" w:eastAsia="Times New Roman" w:hAnsi="Helvetica" w:cs="Times New Roman"/>
          <w:color w:val="333333"/>
        </w:rPr>
        <w:t>) of the firm.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has the capacity to enable services [76] by committing resources dynamically according to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needs and providing on-demand access to configurable IT resources. This is achievable because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computing's</w:t>
      </w:r>
      <w:r w:rsidRPr="00782AD4">
        <w:rPr>
          <w:rFonts w:ascii="Helvetica" w:eastAsia="Times New Roman" w:hAnsi="Helvetica" w:cs="Times New Roman"/>
          <w:color w:val="333333"/>
        </w:rPr>
        <w:t> dynamic discovery, resource pooling, and ability to bring together IT resources. It also enables firms to manage information by collecting, analyzing, and generating ideas and recommendations from a variety of data sources in their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networks. The ability of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to support dynamic discovery and information management implies that its services may help organizations identify and compose relevant services to create customized solutions [10].[ </w:t>
      </w:r>
      <w:hyperlink r:id="rId25" w:anchor="bib3" w:tooltip="3" w:history="1">
        <w:r w:rsidRPr="00782AD4">
          <w:rPr>
            <w:rFonts w:ascii="Helvetica" w:eastAsia="Times New Roman" w:hAnsi="Helvetica" w:cs="Times New Roman"/>
            <w:color w:val="005BC6"/>
            <w:bdr w:val="none" w:sz="0" w:space="0" w:color="auto" w:frame="1"/>
          </w:rPr>
          <w:t>3</w:t>
        </w:r>
      </w:hyperlink>
      <w:r w:rsidRPr="00782AD4">
        <w:rPr>
          <w:rFonts w:ascii="Helvetica" w:eastAsia="Times New Roman" w:hAnsi="Helvetica" w:cs="Times New Roman"/>
          <w:color w:val="333333"/>
        </w:rPr>
        <w:t>]</w:t>
      </w:r>
    </w:p>
    <w:p w14:paraId="485C4EFC"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Next, consider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Market Offerings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CMOC</w:t>
      </w:r>
      <w:r w:rsidRPr="00782AD4">
        <w:rPr>
          <w:rFonts w:ascii="Helvetica" w:eastAsia="Times New Roman" w:hAnsi="Helvetica" w:cs="Times New Roman"/>
          <w:color w:val="333333"/>
        </w:rPr>
        <w:t>), a basic operant resource: the firm's capability to align its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services with its providers' external offerings. This facilitates a firm's ability to connect, interoperate, collaborate, and complement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offerings, such as the payment gateways of other firms.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services may not be enough to support all of the firm's needs: the market offerings of a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 provider are highly relevant too.[ </w:t>
      </w:r>
      <w:hyperlink r:id="rId26" w:anchor="bib4" w:tooltip="4" w:history="1">
        <w:r w:rsidRPr="00782AD4">
          <w:rPr>
            <w:rFonts w:ascii="Helvetica" w:eastAsia="Times New Roman" w:hAnsi="Helvetica" w:cs="Times New Roman"/>
            <w:color w:val="005BC6"/>
            <w:bdr w:val="none" w:sz="0" w:space="0" w:color="auto" w:frame="1"/>
          </w:rPr>
          <w:t>4</w:t>
        </w:r>
      </w:hyperlink>
      <w:r w:rsidRPr="00782AD4">
        <w:rPr>
          <w:rFonts w:ascii="Helvetica" w:eastAsia="Times New Roman" w:hAnsi="Helvetica" w:cs="Times New Roman"/>
          <w:color w:val="333333"/>
        </w:rPr>
        <w:t>] A firm's interconnections with external market participants'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services determine its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xml:space="preserve"> market offering </w:t>
      </w:r>
      <w:r w:rsidRPr="00782AD4">
        <w:rPr>
          <w:rFonts w:ascii="Helvetica" w:eastAsia="Times New Roman" w:hAnsi="Helvetica" w:cs="Times New Roman"/>
          <w:color w:val="333333"/>
        </w:rPr>
        <w:lastRenderedPageBreak/>
        <w:t>readiness. </w:t>
      </w:r>
      <w:r w:rsidRPr="00782AD4">
        <w:rPr>
          <w:rFonts w:ascii="Helvetica" w:eastAsia="Times New Roman" w:hAnsi="Helvetica" w:cs="Times New Roman"/>
          <w:i/>
          <w:iCs/>
          <w:color w:val="333333"/>
          <w:bdr w:val="none" w:sz="0" w:space="0" w:color="auto" w:frame="1"/>
        </w:rPr>
        <w:t>CSOC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CMOC</w:t>
      </w:r>
      <w:r w:rsidRPr="00782AD4">
        <w:rPr>
          <w:rFonts w:ascii="Helvetica" w:eastAsia="Times New Roman" w:hAnsi="Helvetica" w:cs="Times New Roman"/>
          <w:color w:val="333333"/>
        </w:rPr>
        <w:t> give firms superior capability for services and market portfolio offerings, forming a composite operant resource,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Service Portfolio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Appendix Table A2 summarizes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we derived the operant resources.[ </w:t>
      </w:r>
      <w:hyperlink r:id="rId27" w:anchor="bib5" w:tooltip="5" w:history="1">
        <w:r w:rsidRPr="00782AD4">
          <w:rPr>
            <w:rFonts w:ascii="Helvetica" w:eastAsia="Times New Roman" w:hAnsi="Helvetica" w:cs="Times New Roman"/>
            <w:color w:val="005BC6"/>
            <w:bdr w:val="none" w:sz="0" w:space="0" w:color="auto" w:frame="1"/>
          </w:rPr>
          <w:t>5</w:t>
        </w:r>
      </w:hyperlink>
      <w:r w:rsidRPr="00782AD4">
        <w:rPr>
          <w:rFonts w:ascii="Helvetica" w:eastAsia="Times New Roman" w:hAnsi="Helvetica" w:cs="Times New Roman"/>
          <w:color w:val="333333"/>
        </w:rPr>
        <w:t>]</w:t>
      </w:r>
    </w:p>
    <w:p w14:paraId="184EFAE2"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For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simply having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hardware and software resources is not sufficient [27]. Composite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operant resources need to be developed to support effective service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A key contribution of our research inquiry is that defining a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appropriation path</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offer useful guidance for organizations to develop such composite resources to create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by leveraging the </w:t>
      </w:r>
      <w:r w:rsidRPr="00782AD4">
        <w:rPr>
          <w:rFonts w:ascii="Helvetica" w:eastAsia="Times New Roman" w:hAnsi="Helvetica" w:cs="Times New Roman"/>
          <w:b/>
          <w:bCs/>
          <w:color w:val="333333"/>
          <w:bdr w:val="none" w:sz="0" w:space="0" w:color="auto" w:frame="1"/>
        </w:rPr>
        <w:t>cloud's</w:t>
      </w:r>
      <w:r w:rsidRPr="00782AD4">
        <w:rPr>
          <w:rFonts w:ascii="Helvetica" w:eastAsia="Times New Roman" w:hAnsi="Helvetica" w:cs="Times New Roman"/>
          <w:color w:val="333333"/>
        </w:rPr>
        <w:t> service orientation.</w:t>
      </w:r>
    </w:p>
    <w:p w14:paraId="28FB61B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overall theoretical argument follows. ( </w:t>
      </w:r>
      <w:hyperlink r:id="rId28" w:anchor="bib1" w:tooltip="1" w:history="1">
        <w:r w:rsidRPr="00782AD4">
          <w:rPr>
            <w:rFonts w:ascii="Helvetica" w:eastAsia="Times New Roman" w:hAnsi="Helvetica" w:cs="Times New Roman"/>
            <w:color w:val="005BC6"/>
            <w:bdr w:val="none" w:sz="0" w:space="0" w:color="auto" w:frame="1"/>
          </w:rPr>
          <w:t>1</w:t>
        </w:r>
      </w:hyperlink>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is service-oriented and supports dynamic engagement of resources to produce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 </w:t>
      </w:r>
      <w:hyperlink r:id="rId29" w:anchor="bib2" w:tooltip="2" w:history="1">
        <w:r w:rsidRPr="00782AD4">
          <w:rPr>
            <w:rFonts w:ascii="Helvetica" w:eastAsia="Times New Roman" w:hAnsi="Helvetica" w:cs="Times New Roman"/>
            <w:color w:val="005BC6"/>
            <w:bdr w:val="none" w:sz="0" w:space="0" w:color="auto" w:frame="1"/>
          </w:rPr>
          <w:t>2</w:t>
        </w:r>
      </w:hyperlink>
      <w:r w:rsidRPr="00782AD4">
        <w:rPr>
          <w:rFonts w:ascii="Helvetica" w:eastAsia="Times New Roman" w:hAnsi="Helvetica" w:cs="Times New Roman"/>
          <w:color w:val="333333"/>
        </w:rPr>
        <w:t>) Resource-based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is relevant in leveraging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for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Resources alone do not create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though; they are only enablers for services, while agile technical infrastructure permits the creation of other new cost-reducing and revenue-producing technology solutions. ( </w:t>
      </w:r>
      <w:hyperlink r:id="rId30" w:anchor="bib3" w:tooltip="3" w:history="1">
        <w:r w:rsidRPr="00782AD4">
          <w:rPr>
            <w:rFonts w:ascii="Helvetica" w:eastAsia="Times New Roman" w:hAnsi="Helvetica" w:cs="Times New Roman"/>
            <w:color w:val="005BC6"/>
            <w:bdr w:val="none" w:sz="0" w:space="0" w:color="auto" w:frame="1"/>
          </w:rPr>
          <w:t>3</w:t>
        </w:r>
      </w:hyperlink>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hardware, software, and applications are operand resources, and unless they are operational and used, they will not create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by themselves. ( </w:t>
      </w:r>
      <w:hyperlink r:id="rId31" w:anchor="bib4" w:tooltip="4" w:history="1">
        <w:r w:rsidRPr="00782AD4">
          <w:rPr>
            <w:rFonts w:ascii="Helvetica" w:eastAsia="Times New Roman" w:hAnsi="Helvetica" w:cs="Times New Roman"/>
            <w:color w:val="005BC6"/>
            <w:bdr w:val="none" w:sz="0" w:space="0" w:color="auto" w:frame="1"/>
          </w:rPr>
          <w:t>4</w:t>
        </w:r>
      </w:hyperlink>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appropriated via development of a hierarchy of basic and composite operant resources that act as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-creating levers for technical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resources—the operand resources. We will show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the related constructs and survey items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measure these resources to assess this new theory.</w:t>
      </w:r>
    </w:p>
    <w:p w14:paraId="4EE019AC"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32" w:anchor="toc" w:tooltip="New Theory: A Strategic Value Appropriation Path Model for Cloud Computing" w:history="1">
        <w:r w:rsidRPr="00782AD4">
          <w:rPr>
            <w:rFonts w:ascii="Helvetica" w:eastAsia="Times New Roman" w:hAnsi="Helvetica" w:cs="Times New Roman"/>
            <w:b/>
            <w:bCs/>
            <w:color w:val="005BC6"/>
            <w:bdr w:val="none" w:sz="0" w:space="0" w:color="auto" w:frame="1"/>
          </w:rPr>
          <w:t>New Theory: A Strategic Value Appropriation Path Model for Cloud Computing</w:t>
        </w:r>
      </w:hyperlink>
    </w:p>
    <w:p w14:paraId="0645A8D0"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offer a theoretical model to explain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capabilities deliver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to firms through the enablement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 capabilities via the development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operant resources (Figure 1).</w:t>
      </w:r>
    </w:p>
    <w:p w14:paraId="3969F86C"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PHOTO (COLOR): Figure 1.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Appropriation Path Model.</w:t>
      </w:r>
    </w:p>
    <w:p w14:paraId="316C1E4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To effectively share the essence of the ideas and theoretical basis for our research model, we next present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the model's constructs relate to one another, and eight hypotheses that are implied therein. We offer an overview of the theory and literature that support our specification of the capability, flexibility, and performance constructs (Appendix Table A2). We remind the reader that "all competencies/capabilities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viewed as operant resources," and also that "composite operant resources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either tangible or intangible" [53, pp. 69-70]. These observations support our theory.</w:t>
      </w:r>
    </w:p>
    <w:p w14:paraId="1BD34C5D"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33" w:anchor="toc" w:tooltip="Hypotheses" w:history="1">
        <w:r w:rsidRPr="00782AD4">
          <w:rPr>
            <w:rFonts w:ascii="Helvetica" w:eastAsia="Times New Roman" w:hAnsi="Helvetica" w:cs="Times New Roman"/>
            <w:b/>
            <w:bCs/>
            <w:color w:val="005BC6"/>
            <w:bdr w:val="none" w:sz="0" w:space="0" w:color="auto" w:frame="1"/>
          </w:rPr>
          <w:t>Hypotheses</w:t>
        </w:r>
      </w:hyperlink>
    </w:p>
    <w:p w14:paraId="14253DD7" w14:textId="77777777" w:rsidR="00782AD4" w:rsidRPr="00782AD4" w:rsidRDefault="00782AD4" w:rsidP="00782AD4">
      <w:pPr>
        <w:textAlignment w:val="baseline"/>
        <w:outlineLvl w:val="2"/>
        <w:rPr>
          <w:rFonts w:ascii="Helvetica" w:eastAsia="Times New Roman" w:hAnsi="Helvetica" w:cs="Times New Roman"/>
          <w:b/>
          <w:bCs/>
          <w:color w:val="333333"/>
        </w:rPr>
      </w:pPr>
      <w:hyperlink r:id="rId34" w:anchor="toc" w:tooltip="Development of Cloud Operant Resources" w:history="1">
        <w:r w:rsidRPr="00782AD4">
          <w:rPr>
            <w:rFonts w:ascii="Helvetica" w:eastAsia="Times New Roman" w:hAnsi="Helvetica" w:cs="Times New Roman"/>
            <w:b/>
            <w:bCs/>
            <w:color w:val="005BC6"/>
            <w:bdr w:val="none" w:sz="0" w:space="0" w:color="auto" w:frame="1"/>
          </w:rPr>
          <w:t>Development of Cloud Operant Resources</w:t>
        </w:r>
      </w:hyperlink>
    </w:p>
    <w:p w14:paraId="73C2217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first hypothesis covers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Technological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a basic operant resource) helps a firm develop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Integration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 composite operant resource).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helps to develop capabilities for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with basic operant resources,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Legacy Consistency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CLCC</w:t>
      </w:r>
      <w:r w:rsidRPr="00782AD4">
        <w:rPr>
          <w:rFonts w:ascii="Helvetica" w:eastAsia="Times New Roman" w:hAnsi="Helvetica" w:cs="Times New Roman"/>
          <w:color w:val="333333"/>
        </w:rPr>
        <w:t>), and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Legacy Synchronization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CLSC</w:t>
      </w:r>
      <w:r w:rsidRPr="00782AD4">
        <w:rPr>
          <w:rFonts w:ascii="Helvetica" w:eastAsia="Times New Roman" w:hAnsi="Helvetica" w:cs="Times New Roman"/>
          <w:color w:val="333333"/>
        </w:rPr>
        <w:t>). These two are formative first-order constructs. Consistency and synchronization capabilities make contributions to the second-order construct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and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viewed as forming it [15]. In addition, development of a capability to integrate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with existing legacy systems (e.g., CRM, ERP) facilitates information exchange across stakeholders. Here, though,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xml:space="preserve"> systems </w:t>
      </w:r>
      <w:r w:rsidRPr="00782AD4">
        <w:rPr>
          <w:rFonts w:ascii="Helvetica" w:eastAsia="Times New Roman" w:hAnsi="Helvetica" w:cs="Times New Roman"/>
          <w:color w:val="333333"/>
        </w:rPr>
        <w:lastRenderedPageBreak/>
        <w:t>must be integrated across supply chain partners with differing needs and technical environments to successfully deliver outcomes.[ </w:t>
      </w:r>
      <w:hyperlink r:id="rId35" w:anchor="bib6" w:tooltip="6" w:history="1">
        <w:r w:rsidRPr="00782AD4">
          <w:rPr>
            <w:rFonts w:ascii="Helvetica" w:eastAsia="Times New Roman" w:hAnsi="Helvetica" w:cs="Times New Roman"/>
            <w:color w:val="005BC6"/>
            <w:bdr w:val="none" w:sz="0" w:space="0" w:color="auto" w:frame="1"/>
          </w:rPr>
          <w:t>6</w:t>
        </w:r>
      </w:hyperlink>
      <w:r w:rsidRPr="00782AD4">
        <w:rPr>
          <w:rFonts w:ascii="Helvetica" w:eastAsia="Times New Roman" w:hAnsi="Helvetica" w:cs="Times New Roman"/>
          <w:color w:val="333333"/>
        </w:rPr>
        <w:t>]</w:t>
      </w:r>
    </w:p>
    <w:p w14:paraId="798AD38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First,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's technology thrust is to dynamically provision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mobilizing resources, and monitoring infrastructure use to enable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technology and functionality to work in tandem with existing IT infrastructure. Built-in support allows legacy systems to connect with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systems, ensuring the data and functionality are consistent with legacy systems in a scalable manner. Second, effective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technological capability enables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platform to be synchronized in real time with legacy systems via standard interfaces that enable interconnectivity, reflecting platform synchronization. This enables data from legacy systems to be utilized by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applications in real time [ </w:t>
      </w:r>
      <w:hyperlink r:id="rId36" w:anchor="bib5" w:tooltip="5" w:history="1">
        <w:r w:rsidRPr="00782AD4">
          <w:rPr>
            <w:rFonts w:ascii="Helvetica" w:eastAsia="Times New Roman" w:hAnsi="Helvetica" w:cs="Times New Roman"/>
            <w:color w:val="005BC6"/>
            <w:bdr w:val="none" w:sz="0" w:space="0" w:color="auto" w:frame="1"/>
          </w:rPr>
          <w:t>5</w:t>
        </w:r>
      </w:hyperlink>
      <w:r w:rsidRPr="00782AD4">
        <w:rPr>
          <w:rFonts w:ascii="Helvetica" w:eastAsia="Times New Roman" w:hAnsi="Helvetica" w:cs="Times New Roman"/>
          <w:color w:val="333333"/>
        </w:rPr>
        <w:t>]. In sum, a well-developed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basic operant resource </w:t>
      </w:r>
      <w:r w:rsidRPr="00782AD4">
        <w:rPr>
          <w:rFonts w:ascii="Helvetica" w:eastAsia="Times New Roman" w:hAnsi="Helvetica" w:cs="Times New Roman"/>
          <w:b/>
          <w:bCs/>
          <w:color w:val="333333"/>
          <w:bdr w:val="none" w:sz="0" w:space="0" w:color="auto" w:frame="1"/>
        </w:rPr>
        <w:t>enhances</w:t>
      </w:r>
      <w:r w:rsidRPr="00782AD4">
        <w:rPr>
          <w:rFonts w:ascii="Helvetica" w:eastAsia="Times New Roman" w:hAnsi="Helvetica" w:cs="Times New Roman"/>
          <w:color w:val="333333"/>
        </w:rPr>
        <w:t> the firm's ability to develop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 composite operant resource) via platform synchronization and technology-based consistency. As a result, we offer the following hypothesis:</w:t>
      </w:r>
    </w:p>
    <w:p w14:paraId="5DE2DC3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(Technology and Integration): The higher is CTC, then the higher is CIC.</w:t>
      </w:r>
    </w:p>
    <w:p w14:paraId="6326AD33"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next consider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enables the firm's development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Service Portfolio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a composite operant resource).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facilitates the creation of capabilities that form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including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Service Offerings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CSOC</w:t>
      </w:r>
      <w:r w:rsidRPr="00782AD4">
        <w:rPr>
          <w:rFonts w:ascii="Helvetica" w:eastAsia="Times New Roman" w:hAnsi="Helvetica" w:cs="Times New Roman"/>
          <w:color w:val="333333"/>
        </w:rPr>
        <w:t>) and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Market Offerings Capability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CMOC</w:t>
      </w:r>
      <w:r w:rsidRPr="00782AD4">
        <w:rPr>
          <w:rFonts w:ascii="Helvetica" w:eastAsia="Times New Roman" w:hAnsi="Helvetica" w:cs="Times New Roman"/>
          <w:color w:val="333333"/>
        </w:rPr>
        <w:t>). These two basic operant resources are also first-order formative constructs for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Superior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enables the firm to </w:t>
      </w:r>
      <w:r w:rsidRPr="00782AD4">
        <w:rPr>
          <w:rFonts w:ascii="Helvetica" w:eastAsia="Times New Roman" w:hAnsi="Helvetica" w:cs="Times New Roman"/>
          <w:b/>
          <w:bCs/>
          <w:color w:val="333333"/>
          <w:bdr w:val="none" w:sz="0" w:space="0" w:color="auto" w:frame="1"/>
        </w:rPr>
        <w:t>enhance</w:t>
      </w:r>
      <w:r w:rsidRPr="00782AD4">
        <w:rPr>
          <w:rFonts w:ascii="Helvetica" w:eastAsia="Times New Roman" w:hAnsi="Helvetica" w:cs="Times New Roman"/>
          <w:color w:val="333333"/>
        </w:rPr>
        <w:t> its </w:t>
      </w:r>
      <w:r w:rsidRPr="00782AD4">
        <w:rPr>
          <w:rFonts w:ascii="Helvetica" w:eastAsia="Times New Roman" w:hAnsi="Helvetica" w:cs="Times New Roman"/>
          <w:i/>
          <w:iCs/>
          <w:color w:val="333333"/>
          <w:bdr w:val="none" w:sz="0" w:space="0" w:color="auto" w:frame="1"/>
        </w:rPr>
        <w:t>CSOC</w:t>
      </w:r>
      <w:r w:rsidRPr="00782AD4">
        <w:rPr>
          <w:rFonts w:ascii="Helvetica" w:eastAsia="Times New Roman" w:hAnsi="Helvetica" w:cs="Times New Roman"/>
          <w:color w:val="333333"/>
        </w:rPr>
        <w:t>, which, in turn, supports the firm's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via on-demand dynamic provisioning and resource allocation [35]. Dynamic provisioning and resource allocation ensure that varying customer needs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met and services be made available [86]. They also enable firms to elastically utilize resources on-demand, which is a flexible way to run service apps without advanced reservation of resources and with minimal effort or provider interaction.[ </w:t>
      </w:r>
      <w:hyperlink r:id="rId37" w:anchor="bib7" w:tooltip="7" w:history="1">
        <w:r w:rsidRPr="00782AD4">
          <w:rPr>
            <w:rFonts w:ascii="Helvetica" w:eastAsia="Times New Roman" w:hAnsi="Helvetica" w:cs="Times New Roman"/>
            <w:color w:val="005BC6"/>
            <w:bdr w:val="none" w:sz="0" w:space="0" w:color="auto" w:frame="1"/>
          </w:rPr>
          <w:t>7</w:t>
        </w:r>
      </w:hyperlink>
      <w:r w:rsidRPr="00782AD4">
        <w:rPr>
          <w:rFonts w:ascii="Helvetica" w:eastAsia="Times New Roman" w:hAnsi="Helvetica" w:cs="Times New Roman"/>
          <w:color w:val="333333"/>
        </w:rPr>
        <w:t>]</w:t>
      </w:r>
    </w:p>
    <w:p w14:paraId="5DCF767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helps align a firm's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services with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market services. For example, effective provisioning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-enabled accounting systems ensures seamless connectivity with the variety of billing and accounts receivable systems of its market participants. Superior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via dynamic provisioning and standard interfaces helps a firm to develop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applications that are well aligned, interoperable, and compatible with systems of other market participants [</w:t>
      </w:r>
      <w:hyperlink r:id="rId38" w:anchor="bib5" w:tooltip="5" w:history="1">
        <w:r w:rsidRPr="00782AD4">
          <w:rPr>
            <w:rFonts w:ascii="Helvetica" w:eastAsia="Times New Roman" w:hAnsi="Helvetica" w:cs="Times New Roman"/>
            <w:color w:val="005BC6"/>
            <w:bdr w:val="none" w:sz="0" w:space="0" w:color="auto" w:frame="1"/>
          </w:rPr>
          <w:t>5</w:t>
        </w:r>
      </w:hyperlink>
      <w:r w:rsidRPr="00782AD4">
        <w:rPr>
          <w:rFonts w:ascii="Helvetica" w:eastAsia="Times New Roman" w:hAnsi="Helvetica" w:cs="Times New Roman"/>
          <w:color w:val="333333"/>
        </w:rPr>
        <w:t>]. This is achieved via standard interfaces with the applications and service offerings of other market participants [78]. In sum, a well-developed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a basic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operant resource, </w:t>
      </w:r>
      <w:r w:rsidRPr="00782AD4">
        <w:rPr>
          <w:rFonts w:ascii="Helvetica" w:eastAsia="Times New Roman" w:hAnsi="Helvetica" w:cs="Times New Roman"/>
          <w:b/>
          <w:bCs/>
          <w:color w:val="333333"/>
          <w:bdr w:val="none" w:sz="0" w:space="0" w:color="auto" w:frame="1"/>
        </w:rPr>
        <w:t>enhances</w:t>
      </w:r>
      <w:r w:rsidRPr="00782AD4">
        <w:rPr>
          <w:rFonts w:ascii="Helvetica" w:eastAsia="Times New Roman" w:hAnsi="Helvetica" w:cs="Times New Roman"/>
          <w:color w:val="333333"/>
        </w:rPr>
        <w:t> a firm's ability to develop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a composite operant resource, via the </w:t>
      </w:r>
      <w:r w:rsidRPr="00782AD4">
        <w:rPr>
          <w:rFonts w:ascii="Helvetica" w:eastAsia="Times New Roman" w:hAnsi="Helvetica" w:cs="Times New Roman"/>
          <w:b/>
          <w:bCs/>
          <w:color w:val="333333"/>
          <w:bdr w:val="none" w:sz="0" w:space="0" w:color="auto" w:frame="1"/>
        </w:rPr>
        <w:t>cloud's</w:t>
      </w:r>
      <w:r w:rsidRPr="00782AD4">
        <w:rPr>
          <w:rFonts w:ascii="Helvetica" w:eastAsia="Times New Roman" w:hAnsi="Helvetica" w:cs="Times New Roman"/>
          <w:color w:val="333333"/>
        </w:rPr>
        <w:t> ability to support its service offerings and external compatibility. Therefore, we propose:</w:t>
      </w:r>
    </w:p>
    <w:p w14:paraId="7B006D2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(Technology and Service Portfolio): The higher is CTC, then the higher is CSPC.</w:t>
      </w:r>
    </w:p>
    <w:p w14:paraId="5A68344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next consider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the composite operant resource,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helps a firm develop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also a composite operant resource. Firms use various deployment models and source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services from different vendors. Variations in utilization and data synchronization result in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silos, which lead to inefficiencies and redundant, inconsistent data, with no "true" single version for assessing real-time firm performance.[ </w:t>
      </w:r>
      <w:hyperlink r:id="rId39" w:anchor="bib8" w:tooltip="8" w:history="1">
        <w:r w:rsidRPr="00782AD4">
          <w:rPr>
            <w:rFonts w:ascii="Helvetica" w:eastAsia="Times New Roman" w:hAnsi="Helvetica" w:cs="Times New Roman"/>
            <w:color w:val="005BC6"/>
            <w:bdr w:val="none" w:sz="0" w:space="0" w:color="auto" w:frame="1"/>
          </w:rPr>
          <w:t>8</w:t>
        </w:r>
      </w:hyperlink>
      <w:r w:rsidRPr="00782AD4">
        <w:rPr>
          <w:rFonts w:ascii="Helvetica" w:eastAsia="Times New Roman" w:hAnsi="Helvetica" w:cs="Times New Roman"/>
          <w:color w:val="333333"/>
        </w:rPr>
        <w:t>] Similarly, the variety of vendor proprietary platforms, languages, and technologies results in the </w:t>
      </w:r>
      <w:r w:rsidRPr="00782AD4">
        <w:rPr>
          <w:rFonts w:ascii="Helvetica" w:eastAsia="Times New Roman" w:hAnsi="Helvetica" w:cs="Times New Roman"/>
          <w:i/>
          <w:iCs/>
          <w:color w:val="333333"/>
          <w:bdr w:val="none" w:sz="0" w:space="0" w:color="auto" w:frame="1"/>
        </w:rPr>
        <w:t>vendor lock-in problem</w:t>
      </w:r>
      <w:r w:rsidRPr="00782AD4">
        <w:rPr>
          <w:rFonts w:ascii="Helvetica" w:eastAsia="Times New Roman" w:hAnsi="Helvetica" w:cs="Times New Roman"/>
          <w:color w:val="333333"/>
        </w:rPr>
        <w:t xml:space="preserve">, increases switching costs for </w:t>
      </w:r>
      <w:r w:rsidRPr="00782AD4">
        <w:rPr>
          <w:rFonts w:ascii="Helvetica" w:eastAsia="Times New Roman" w:hAnsi="Helvetica" w:cs="Times New Roman"/>
          <w:color w:val="333333"/>
        </w:rPr>
        <w:lastRenderedPageBreak/>
        <w:t>subscribers, and may lead to incompatibility with the services of other vendors.[ </w:t>
      </w:r>
      <w:hyperlink r:id="rId40" w:anchor="bib9" w:tooltip="9" w:history="1">
        <w:r w:rsidRPr="00782AD4">
          <w:rPr>
            <w:rFonts w:ascii="Helvetica" w:eastAsia="Times New Roman" w:hAnsi="Helvetica" w:cs="Times New Roman"/>
            <w:color w:val="005BC6"/>
            <w:bdr w:val="none" w:sz="0" w:space="0" w:color="auto" w:frame="1"/>
          </w:rPr>
          <w:t>9</w:t>
        </w:r>
      </w:hyperlink>
      <w:r w:rsidRPr="00782AD4">
        <w:rPr>
          <w:rFonts w:ascii="Helvetica" w:eastAsia="Times New Roman" w:hAnsi="Helvetica" w:cs="Times New Roman"/>
          <w:color w:val="333333"/>
        </w:rPr>
        <w:t>] An integrated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-legacy environment provides accurate and reliable information, delivering usable data and services to stakeholders. As a result, the more capable the firm is with integration in its existing infrastructure, the more effective it will be in information management.</w:t>
      </w:r>
    </w:p>
    <w:p w14:paraId="6AAB649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IT-enabled information management capabilities enable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capabilities [59] and support effective integration with legacy systems, resulting in a well-performing, integrated portfolio of services for multiple environments with data sharing. When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systems and legacy systems are well-integrated, this helps the firm to achieve an aligned enterprise architecture, data and process integration, and a consistent discipline for problem and change management. These outcomes aid in deploying and managing services.</w:t>
      </w:r>
    </w:p>
    <w:p w14:paraId="4C3E9693"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Furthermore, integration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technologies with existing IT infrastructure enables an effective service portfolio. A firm's synchronization of data across its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and legacy systems ensures its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functionality seamlessly connects with existing services and processes.[10] Finally, because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b/>
          <w:bCs/>
          <w:color w:val="333333"/>
          <w:bdr w:val="none" w:sz="0" w:space="0" w:color="auto" w:frame="1"/>
        </w:rPr>
        <w:t>enhances</w:t>
      </w:r>
      <w:r w:rsidRPr="00782AD4">
        <w:rPr>
          <w:rFonts w:ascii="Helvetica" w:eastAsia="Times New Roman" w:hAnsi="Helvetica" w:cs="Times New Roman"/>
          <w:color w:val="333333"/>
        </w:rPr>
        <w:t> such data synchronization, it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facilitate streamlined data sharing for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offerings of other firms.[11] As a result, superior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helps a firm to </w:t>
      </w:r>
      <w:r w:rsidRPr="00782AD4">
        <w:rPr>
          <w:rFonts w:ascii="Helvetica" w:eastAsia="Times New Roman" w:hAnsi="Helvetica" w:cs="Times New Roman"/>
          <w:b/>
          <w:bCs/>
          <w:color w:val="333333"/>
          <w:bdr w:val="none" w:sz="0" w:space="0" w:color="auto" w:frame="1"/>
        </w:rPr>
        <w:t>enhance</w:t>
      </w:r>
      <w:r w:rsidRPr="00782AD4">
        <w:rPr>
          <w:rFonts w:ascii="Helvetica" w:eastAsia="Times New Roman" w:hAnsi="Helvetica" w:cs="Times New Roman"/>
          <w:color w:val="333333"/>
        </w:rPr>
        <w:t> its </w:t>
      </w:r>
      <w:r w:rsidRPr="00782AD4">
        <w:rPr>
          <w:rFonts w:ascii="Helvetica" w:eastAsia="Times New Roman" w:hAnsi="Helvetica" w:cs="Times New Roman"/>
          <w:i/>
          <w:iCs/>
          <w:color w:val="333333"/>
          <w:bdr w:val="none" w:sz="0" w:space="0" w:color="auto" w:frame="1"/>
        </w:rPr>
        <w:t>CMOC</w:t>
      </w:r>
      <w:r w:rsidRPr="00782AD4">
        <w:rPr>
          <w:rFonts w:ascii="Helvetica" w:eastAsia="Times New Roman" w:hAnsi="Helvetica" w:cs="Times New Roman"/>
          <w:color w:val="333333"/>
        </w:rPr>
        <w:t> through interoperability. Thus, we posit:</w:t>
      </w:r>
    </w:p>
    <w:p w14:paraId="1823553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(Integration and Service Portfolio): The higher is CIC, then the higher is CSPC.</w:t>
      </w:r>
    </w:p>
    <w:p w14:paraId="1E887087"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41" w:anchor="toc" w:tooltip="Mediating Role of Business Flexibility" w:history="1">
        <w:r w:rsidRPr="00782AD4">
          <w:rPr>
            <w:rFonts w:ascii="Helvetica" w:eastAsia="Times New Roman" w:hAnsi="Helvetica" w:cs="Times New Roman"/>
            <w:b/>
            <w:bCs/>
            <w:color w:val="005BC6"/>
            <w:bdr w:val="none" w:sz="0" w:space="0" w:color="auto" w:frame="1"/>
          </w:rPr>
          <w:t>Mediating Role of Business Flexibility</w:t>
        </w:r>
      </w:hyperlink>
    </w:p>
    <w:p w14:paraId="7351AD3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Flexibility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is the ability of a firm to quickly deal with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environment changes. By enabling alignment with processes,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acts as a mediator that funnels the effects of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to </w:t>
      </w:r>
      <w:r w:rsidRPr="00782AD4">
        <w:rPr>
          <w:rFonts w:ascii="Helvetica" w:eastAsia="Times New Roman" w:hAnsi="Helvetica" w:cs="Times New Roman"/>
          <w:i/>
          <w:iCs/>
          <w:color w:val="333333"/>
          <w:bdr w:val="none" w:sz="0" w:space="0" w:color="auto" w:frame="1"/>
        </w:rPr>
        <w:t>Firm Performanc</w:t>
      </w:r>
      <w:r w:rsidRPr="00782AD4">
        <w:rPr>
          <w:rFonts w:ascii="Helvetica" w:eastAsia="Times New Roman" w:hAnsi="Helvetica" w:cs="Times New Roman"/>
          <w:color w:val="333333"/>
        </w:rPr>
        <w:t>e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This ability is manifest in two ways.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Responsiveness</w:t>
      </w:r>
      <w:r w:rsidRPr="00782AD4">
        <w:rPr>
          <w:rFonts w:ascii="Helvetica" w:eastAsia="Times New Roman" w:hAnsi="Helvetica" w:cs="Times New Roman"/>
          <w:color w:val="333333"/>
        </w:rPr>
        <w:t>(</w:t>
      </w:r>
      <w:r w:rsidRPr="00782AD4">
        <w:rPr>
          <w:rFonts w:ascii="Helvetica" w:eastAsia="Times New Roman" w:hAnsi="Helvetica" w:cs="Times New Roman"/>
          <w:i/>
          <w:iCs/>
          <w:color w:val="333333"/>
          <w:bdr w:val="none" w:sz="0" w:space="0" w:color="auto" w:frame="1"/>
        </w:rPr>
        <w:t>BusResp</w:t>
      </w:r>
      <w:r w:rsidRPr="00782AD4">
        <w:rPr>
          <w:rFonts w:ascii="Helvetica" w:eastAsia="Times New Roman" w:hAnsi="Helvetica" w:cs="Times New Roman"/>
          <w:color w:val="333333"/>
        </w:rPr>
        <w:t>) allows a firm to respond to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environment changes by quickly reallocating and reconfiguring organizational resources, processes, and strategies [83]. It is implemented through analysis of performance-relevant metrics.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Scalability</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BusScal</w:t>
      </w:r>
      <w:r w:rsidRPr="00782AD4">
        <w:rPr>
          <w:rFonts w:ascii="Helvetica" w:eastAsia="Times New Roman" w:hAnsi="Helvetica" w:cs="Times New Roman"/>
          <w:color w:val="333333"/>
        </w:rPr>
        <w:t>) is the firm's ability to quickly manage its resources to cope with expanding or diminishing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needs. It is implemented through predictive change management processes [83]. In other words,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is formed from a firm's ability to sense, respond, and synchronize strategic and tactical decisions [52].</w:t>
      </w:r>
    </w:p>
    <w:p w14:paraId="1F6E8CA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leads to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First, synchronization and consistency between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and legacy applications data facilitate alignment and adaptability of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processes and systems, enhancing the ability to sense the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environment [ </w:t>
      </w:r>
      <w:hyperlink r:id="rId42" w:anchor="bib5" w:tooltip="5" w:history="1">
        <w:r w:rsidRPr="00782AD4">
          <w:rPr>
            <w:rFonts w:ascii="Helvetica" w:eastAsia="Times New Roman" w:hAnsi="Helvetica" w:cs="Times New Roman"/>
            <w:color w:val="005BC6"/>
            <w:bdr w:val="none" w:sz="0" w:space="0" w:color="auto" w:frame="1"/>
          </w:rPr>
          <w:t>5</w:t>
        </w:r>
      </w:hyperlink>
      <w:r w:rsidRPr="00782AD4">
        <w:rPr>
          <w:rFonts w:ascii="Helvetica" w:eastAsia="Times New Roman" w:hAnsi="Helvetica" w:cs="Times New Roman"/>
          <w:color w:val="333333"/>
        </w:rPr>
        <w:t>]. They facilitate organizing, linking, analyzing, and sharing information gathered about markets, competitors, and stakeholders across relevant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units [41]. This ensures the right information is available on time for effective decision-making.[12] With greater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 firm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reallocate its organizational resources, processes, and strategies for responsiveness [ </w:t>
      </w:r>
      <w:hyperlink r:id="rId43" w:anchor="bib5" w:tooltip="5" w:history="1">
        <w:r w:rsidRPr="00782AD4">
          <w:rPr>
            <w:rFonts w:ascii="Helvetica" w:eastAsia="Times New Roman" w:hAnsi="Helvetica" w:cs="Times New Roman"/>
            <w:color w:val="005BC6"/>
            <w:bdr w:val="none" w:sz="0" w:space="0" w:color="auto" w:frame="1"/>
          </w:rPr>
          <w:t>5</w:t>
        </w:r>
      </w:hyperlink>
      <w:r w:rsidRPr="00782AD4">
        <w:rPr>
          <w:rFonts w:ascii="Helvetica" w:eastAsia="Times New Roman" w:hAnsi="Helvetica" w:cs="Times New Roman"/>
          <w:color w:val="333333"/>
        </w:rPr>
        <w:t>]. Second, with synchronization and consistency between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and legacy systems, a firm will be able to better monitor resource use. This supports real-time predictive change management, which increases </w:t>
      </w:r>
      <w:r w:rsidRPr="00782AD4">
        <w:rPr>
          <w:rFonts w:ascii="Helvetica" w:eastAsia="Times New Roman" w:hAnsi="Helvetica" w:cs="Times New Roman"/>
          <w:i/>
          <w:iCs/>
          <w:color w:val="333333"/>
          <w:bdr w:val="none" w:sz="0" w:space="0" w:color="auto" w:frame="1"/>
        </w:rPr>
        <w:t>BusScal</w:t>
      </w:r>
      <w:r w:rsidRPr="00782AD4">
        <w:rPr>
          <w:rFonts w:ascii="Helvetica" w:eastAsia="Times New Roman" w:hAnsi="Helvetica" w:cs="Times New Roman"/>
          <w:color w:val="333333"/>
        </w:rPr>
        <w:t>. Therefore, to be flexible for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xml:space="preserve"> changes and scalable in operational size, firms need to ensure that the </w:t>
      </w:r>
      <w:r w:rsidRPr="00782AD4">
        <w:rPr>
          <w:rFonts w:ascii="Helvetica" w:eastAsia="Times New Roman" w:hAnsi="Helvetica" w:cs="Times New Roman"/>
          <w:color w:val="333333"/>
        </w:rPr>
        <w:lastRenderedPageBreak/>
        <w:t>data in all their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and legacy systems and apps are well-integrated, synchronized, and consistent. Such integration supports exceptional information management to develop and </w:t>
      </w:r>
      <w:r w:rsidRPr="00782AD4">
        <w:rPr>
          <w:rFonts w:ascii="Helvetica" w:eastAsia="Times New Roman" w:hAnsi="Helvetica" w:cs="Times New Roman"/>
          <w:b/>
          <w:bCs/>
          <w:color w:val="333333"/>
          <w:bdr w:val="none" w:sz="0" w:space="0" w:color="auto" w:frame="1"/>
        </w:rPr>
        <w:t>enhance</w:t>
      </w:r>
      <w:r w:rsidRPr="00782AD4">
        <w:rPr>
          <w:rFonts w:ascii="Helvetica" w:eastAsia="Times New Roman" w:hAnsi="Helvetica" w:cs="Times New Roman"/>
          <w:color w:val="333333"/>
        </w:rPr>
        <w:t> internal organizational and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processes that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meet changing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needs [59]. Thus, we assert:</w:t>
      </w:r>
    </w:p>
    <w:p w14:paraId="6F16470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(Integration and Flexibility): The higher is CIC, then the higher is BusFlex.</w:t>
      </w:r>
    </w:p>
    <w:p w14:paraId="44AF63A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Next, we argue that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enhances</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First, a flexible firm-level portfolio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services enables it to adapt its services to meet change. Firms that use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to design and deploy service offerings will be able to identify changes in demand and the environment. As a result, their ability to sense and respond to environmental changes will be enhanced. Likewise, the compatibility of its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services with those of its partners allows the firm to synchronize its offerings with the market's needs.</w:t>
      </w:r>
    </w:p>
    <w:p w14:paraId="178FF48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Second, a firm's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scalability will be enhanced by the interoperability and alignment of its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systems with the offerings of market participants. By using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to develop and maintain services with market participants, it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quickly adapt or switch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partnerships, ensuring flexibility [58]. Similarly, the interoperability and alignment of its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systems with market participants </w:t>
      </w:r>
      <w:r w:rsidRPr="00782AD4">
        <w:rPr>
          <w:rFonts w:ascii="Helvetica" w:eastAsia="Times New Roman" w:hAnsi="Helvetica" w:cs="Times New Roman"/>
          <w:b/>
          <w:bCs/>
          <w:color w:val="333333"/>
          <w:bdr w:val="none" w:sz="0" w:space="0" w:color="auto" w:frame="1"/>
        </w:rPr>
        <w:t>enhance</w:t>
      </w:r>
      <w:r w:rsidRPr="00782AD4">
        <w:rPr>
          <w:rFonts w:ascii="Helvetica" w:eastAsia="Times New Roman" w:hAnsi="Helvetica" w:cs="Times New Roman"/>
          <w:color w:val="333333"/>
        </w:rPr>
        <w:t> the firm's capacity to scale up or down quickly. Thus, we now offer:</w:t>
      </w:r>
    </w:p>
    <w:p w14:paraId="08A4FBF2"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(Service Portfolio and Flexibility): The higher is CSPC, then the higher is BusFlex.</w:t>
      </w:r>
    </w:p>
    <w:p w14:paraId="3C62340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Next, we suggest that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mediates the link between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as well as the link between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FirmPerf. BusFlex</w:t>
      </w:r>
      <w:r w:rsidRPr="00782AD4">
        <w:rPr>
          <w:rFonts w:ascii="Helvetica" w:eastAsia="Times New Roman" w:hAnsi="Helvetica" w:cs="Times New Roman"/>
          <w:color w:val="333333"/>
        </w:rPr>
        <w:t> enables the firm to be agile and responsive to changing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environments, supporting real-time synchronization of key decisions. Consistent with these capabilities, we expect that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flexibility should </w:t>
      </w:r>
      <w:r w:rsidRPr="00782AD4">
        <w:rPr>
          <w:rFonts w:ascii="Helvetica" w:eastAsia="Times New Roman" w:hAnsi="Helvetica" w:cs="Times New Roman"/>
          <w:b/>
          <w:bCs/>
          <w:color w:val="333333"/>
          <w:bdr w:val="none" w:sz="0" w:space="0" w:color="auto" w:frame="1"/>
        </w:rPr>
        <w:t>enhance</w:t>
      </w:r>
      <w:r w:rsidRPr="00782AD4">
        <w:rPr>
          <w:rFonts w:ascii="Helvetica" w:eastAsia="Times New Roman" w:hAnsi="Helvetica" w:cs="Times New Roman"/>
          <w:color w:val="333333"/>
        </w:rPr>
        <w:t> firm performance; therefore, we hypothesize:</w:t>
      </w:r>
    </w:p>
    <w:p w14:paraId="1E72C47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(Flexibility and Performance): The higher is BusFlex, then the higher is FirmPerf.</w:t>
      </w:r>
    </w:p>
    <w:p w14:paraId="33E7CD7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final hypotheses link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to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Superior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enables data from legacy systems to be available to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applications, resulting in effective operations for the firm and its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processes [28]. Improvements supported by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enable it to </w:t>
      </w:r>
      <w:r w:rsidRPr="00782AD4">
        <w:rPr>
          <w:rFonts w:ascii="Helvetica" w:eastAsia="Times New Roman" w:hAnsi="Helvetica" w:cs="Times New Roman"/>
          <w:b/>
          <w:bCs/>
          <w:color w:val="333333"/>
          <w:bdr w:val="none" w:sz="0" w:space="0" w:color="auto" w:frame="1"/>
        </w:rPr>
        <w:t>enhance</w:t>
      </w:r>
      <w:r w:rsidRPr="00782AD4">
        <w:rPr>
          <w:rFonts w:ascii="Helvetica" w:eastAsia="Times New Roman" w:hAnsi="Helvetica" w:cs="Times New Roman"/>
          <w:color w:val="333333"/>
        </w:rPr>
        <w:t> productivity and financial performance [68].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also </w:t>
      </w:r>
      <w:r w:rsidRPr="00782AD4">
        <w:rPr>
          <w:rFonts w:ascii="Helvetica" w:eastAsia="Times New Roman" w:hAnsi="Helvetica" w:cs="Times New Roman"/>
          <w:b/>
          <w:bCs/>
          <w:color w:val="333333"/>
          <w:bdr w:val="none" w:sz="0" w:space="0" w:color="auto" w:frame="1"/>
        </w:rPr>
        <w:t>enhances</w:t>
      </w:r>
      <w:r w:rsidRPr="00782AD4">
        <w:rPr>
          <w:rFonts w:ascii="Helvetica" w:eastAsia="Times New Roman" w:hAnsi="Helvetica" w:cs="Times New Roman"/>
          <w:color w:val="333333"/>
        </w:rPr>
        <w:t> the firm's information management processes to gather, organize, and disseminate information and data to stakeholders in a distributed and pervasive way. Overall, effective integration increases the access of key ITs and scale economies for technical resources too.[13] As a result, these capabilities help resource use and manage internal and external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processes effectively [59].</w:t>
      </w:r>
    </w:p>
    <w:p w14:paraId="5EC3207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Likewise,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enhances</w:t>
      </w:r>
      <w:r w:rsidRPr="00782AD4">
        <w:rPr>
          <w:rFonts w:ascii="Helvetica" w:eastAsia="Times New Roman" w:hAnsi="Helvetica" w:cs="Times New Roman"/>
          <w:color w:val="333333"/>
        </w:rPr>
        <w:t> firm performance two ways. First, by helping in the design, development, and management of services, it </w:t>
      </w:r>
      <w:r w:rsidRPr="00782AD4">
        <w:rPr>
          <w:rFonts w:ascii="Helvetica" w:eastAsia="Times New Roman" w:hAnsi="Helvetica" w:cs="Times New Roman"/>
          <w:b/>
          <w:bCs/>
          <w:color w:val="333333"/>
          <w:bdr w:val="none" w:sz="0" w:space="0" w:color="auto" w:frame="1"/>
        </w:rPr>
        <w:t>enhances</w:t>
      </w:r>
      <w:r w:rsidRPr="00782AD4">
        <w:rPr>
          <w:rFonts w:ascii="Helvetica" w:eastAsia="Times New Roman" w:hAnsi="Helvetica" w:cs="Times New Roman"/>
          <w:color w:val="333333"/>
        </w:rPr>
        <w:t> service quality, and the breadth of services it offers to customers. This is because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-enabled services provide improved mobility and accessibility of firm services [</w:t>
      </w:r>
      <w:hyperlink r:id="rId44" w:anchor="bib5" w:tooltip="5" w:history="1">
        <w:r w:rsidRPr="00782AD4">
          <w:rPr>
            <w:rFonts w:ascii="Helvetica" w:eastAsia="Times New Roman" w:hAnsi="Helvetica" w:cs="Times New Roman"/>
            <w:color w:val="005BC6"/>
            <w:bdr w:val="none" w:sz="0" w:space="0" w:color="auto" w:frame="1"/>
          </w:rPr>
          <w:t>5</w:t>
        </w:r>
      </w:hyperlink>
      <w:r w:rsidRPr="00782AD4">
        <w:rPr>
          <w:rFonts w:ascii="Helvetica" w:eastAsia="Times New Roman" w:hAnsi="Helvetica" w:cs="Times New Roman"/>
          <w:color w:val="333333"/>
        </w:rPr>
        <w:t>]. The improved service experience benefits customer satisfaction, reducing churn and growing revenue. Second, better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helps to develop and maintain services at lower cost because the firm controls its hardware, facilities, and other operations costs. Finally,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xml:space="preserve"> helps firms lever capabilities offered by market participants in a more seamless and cost-effective way, potentially opening up opportunities for partnering more effectively and </w:t>
      </w:r>
      <w:r w:rsidRPr="00782AD4">
        <w:rPr>
          <w:rFonts w:ascii="Helvetica" w:eastAsia="Times New Roman" w:hAnsi="Helvetica" w:cs="Times New Roman"/>
          <w:color w:val="333333"/>
        </w:rPr>
        <w:lastRenderedPageBreak/>
        <w:t>efficiently with other market participants. Additionally, superior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allows the firm to focus more on its core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[28]. Therefore, we state:</w:t>
      </w:r>
    </w:p>
    <w:p w14:paraId="7EC0FF7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(Integration and Performance): The higher is CIC, then the higher is FirmPerf.</w:t>
      </w:r>
    </w:p>
    <w:p w14:paraId="4D16808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(Service Portfolio and Performance): The higher is CSPC, then the higher is FirmPerf.</w:t>
      </w:r>
    </w:p>
    <w:p w14:paraId="734EA41F"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45" w:anchor="toc" w:tooltip="Data, Methods, and Analysis" w:history="1">
        <w:r w:rsidRPr="00782AD4">
          <w:rPr>
            <w:rFonts w:ascii="Helvetica" w:eastAsia="Times New Roman" w:hAnsi="Helvetica" w:cs="Times New Roman"/>
            <w:b/>
            <w:bCs/>
            <w:color w:val="005BC6"/>
            <w:bdr w:val="none" w:sz="0" w:space="0" w:color="auto" w:frame="1"/>
          </w:rPr>
          <w:t>Data, Methods, and Analysis</w:t>
        </w:r>
      </w:hyperlink>
    </w:p>
    <w:p w14:paraId="2AFB1F9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next provide an overview of our dataset and variables, a roadmap for our methods, the rationale for using </w:t>
      </w:r>
      <w:r w:rsidRPr="00782AD4">
        <w:rPr>
          <w:rFonts w:ascii="Helvetica" w:eastAsia="Times New Roman" w:hAnsi="Helvetica" w:cs="Times New Roman"/>
          <w:i/>
          <w:iCs/>
          <w:color w:val="333333"/>
          <w:bdr w:val="none" w:sz="0" w:space="0" w:color="auto" w:frame="1"/>
        </w:rPr>
        <w:t>partial least squares</w:t>
      </w:r>
      <w:r w:rsidRPr="00782AD4">
        <w:rPr>
          <w:rFonts w:ascii="Helvetica" w:eastAsia="Times New Roman" w:hAnsi="Helvetica" w:cs="Times New Roman"/>
          <w:color w:val="333333"/>
        </w:rPr>
        <w:t> (PLS), and other techniques to support our ability to make inferences, as well as the benefits they offer for learning about the firm's implementation paths for high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appropriation.</w:t>
      </w:r>
    </w:p>
    <w:p w14:paraId="7EF8A8AB"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46" w:anchor="toc" w:tooltip="Data Collection and Variables" w:history="1">
        <w:r w:rsidRPr="00782AD4">
          <w:rPr>
            <w:rFonts w:ascii="Helvetica" w:eastAsia="Times New Roman" w:hAnsi="Helvetica" w:cs="Times New Roman"/>
            <w:b/>
            <w:bCs/>
            <w:color w:val="005BC6"/>
            <w:bdr w:val="none" w:sz="0" w:space="0" w:color="auto" w:frame="1"/>
          </w:rPr>
          <w:t>Data Collection and Variables</w:t>
        </w:r>
      </w:hyperlink>
    </w:p>
    <w:p w14:paraId="246B91C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To test our hypotheses, we conducted a cross-sectional matched-pair field survey of organizations in India, an emerging economy with large number of users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services. The Indian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services market is growing rapidly and likely to become the third largest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 technology ecosystem globally, behind China and Indonesia.[14] Thus, India is an appropriate context for our study.</w:t>
      </w:r>
    </w:p>
    <w:p w14:paraId="4DC410E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constructs were operationalized by utilizing existing scales where available, or developing new scales through adapting prior measures.[15] For example, we used the five characteristics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on-demand, broad network access, resource pooling, rapid elasticity, and measured service [ </w:t>
      </w:r>
      <w:hyperlink r:id="rId47" w:anchor="bib5" w:tooltip="5" w:history="1">
        <w:r w:rsidRPr="00782AD4">
          <w:rPr>
            <w:rFonts w:ascii="Helvetica" w:eastAsia="Times New Roman" w:hAnsi="Helvetica" w:cs="Times New Roman"/>
            <w:color w:val="005BC6"/>
            <w:bdr w:val="none" w:sz="0" w:space="0" w:color="auto" w:frame="1"/>
          </w:rPr>
          <w:t>5</w:t>
        </w:r>
      </w:hyperlink>
      <w:r w:rsidRPr="00782AD4">
        <w:rPr>
          <w:rFonts w:ascii="Helvetica" w:eastAsia="Times New Roman" w:hAnsi="Helvetica" w:cs="Times New Roman"/>
          <w:color w:val="333333"/>
        </w:rPr>
        <w:t>]. We also used the National Institute of Standards and Technology's definition as a basis for the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scale [58].[16]</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is multidimensional, comprising financial and market performance, and organizational effectiveness [59]. Scale items and sources from which they were adapted are shown in Appendix Table A3.</w:t>
      </w:r>
    </w:p>
    <w:p w14:paraId="75C93BB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To minimize confounding factors due to uneven economic development in India, we developed a sample with data for firms that were located near two emerging commercial hubs in western and southern India (Mumbai and Bengaluru). We collated industry and city directories of two commerce hubs, with organizations that participated in a major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conference there. This resulted in 1,000+ firms. We then removed inactive organizations with no filings with India's Ministry of Corporate Affairs in the prior two years.</w:t>
      </w:r>
    </w:p>
    <w:p w14:paraId="4403E3F8"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After cross-validating the initial instrument items with researchers and industry respondents, we localized the questionnaires by employing the </w:t>
      </w:r>
      <w:r w:rsidRPr="00782AD4">
        <w:rPr>
          <w:rFonts w:ascii="Helvetica" w:eastAsia="Times New Roman" w:hAnsi="Helvetica" w:cs="Times New Roman"/>
          <w:i/>
          <w:iCs/>
          <w:color w:val="333333"/>
          <w:bdr w:val="none" w:sz="0" w:space="0" w:color="auto" w:frame="1"/>
        </w:rPr>
        <w:t>back-translation method</w:t>
      </w:r>
      <w:r w:rsidRPr="00782AD4">
        <w:rPr>
          <w:rFonts w:ascii="Helvetica" w:eastAsia="Times New Roman" w:hAnsi="Helvetica" w:cs="Times New Roman"/>
          <w:color w:val="333333"/>
        </w:rPr>
        <w:t> (e.g., [48]). A bilingual research assistant (RA) translated the questionnaire into the local language, and then a second RA translated it back to English. The two versions were compared, discussed, and refined. The items on our instrument were pretested with two academic IS and survey research experts, in addition to four senior IT managers as respondents.[17]</w:t>
      </w:r>
    </w:p>
    <w:p w14:paraId="644D85D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Matched-pair data</w:t>
      </w:r>
      <w:r w:rsidRPr="00782AD4">
        <w:rPr>
          <w:rFonts w:ascii="Helvetica" w:eastAsia="Times New Roman" w:hAnsi="Helvetica" w:cs="Times New Roman"/>
          <w:color w:val="333333"/>
        </w:rPr>
        <w:t> were collected from February to September 2016 through anonymous surveys of volunteering organizations administered using an online and in-person methodology. We chose a </w:t>
      </w:r>
      <w:r w:rsidRPr="00782AD4">
        <w:rPr>
          <w:rFonts w:ascii="Helvetica" w:eastAsia="Times New Roman" w:hAnsi="Helvetica" w:cs="Times New Roman"/>
          <w:i/>
          <w:iCs/>
          <w:color w:val="333333"/>
          <w:bdr w:val="none" w:sz="0" w:space="0" w:color="auto" w:frame="1"/>
        </w:rPr>
        <w:t>dual online-offline mode</w:t>
      </w:r>
      <w:r w:rsidRPr="00782AD4">
        <w:rPr>
          <w:rFonts w:ascii="Helvetica" w:eastAsia="Times New Roman" w:hAnsi="Helvetica" w:cs="Times New Roman"/>
          <w:color w:val="333333"/>
        </w:rPr>
        <w:t> to administer the survey for two reasons. First, the </w:t>
      </w:r>
      <w:r w:rsidRPr="00782AD4">
        <w:rPr>
          <w:rFonts w:ascii="Helvetica" w:eastAsia="Times New Roman" w:hAnsi="Helvetica" w:cs="Times New Roman"/>
          <w:i/>
          <w:iCs/>
          <w:color w:val="333333"/>
          <w:bdr w:val="none" w:sz="0" w:space="0" w:color="auto" w:frame="1"/>
        </w:rPr>
        <w:t>online mode</w:t>
      </w:r>
      <w:r w:rsidRPr="00782AD4">
        <w:rPr>
          <w:rFonts w:ascii="Helvetica" w:eastAsia="Times New Roman" w:hAnsi="Helvetica" w:cs="Times New Roman"/>
          <w:color w:val="333333"/>
        </w:rPr>
        <w:t> ensured that respondent firms had Internet access, a prerequisite to using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services. Since Internet penetration in India is low, we targeted only the relevant subsample of firms. Second, the </w:t>
      </w:r>
      <w:r w:rsidRPr="00782AD4">
        <w:rPr>
          <w:rFonts w:ascii="Helvetica" w:eastAsia="Times New Roman" w:hAnsi="Helvetica" w:cs="Times New Roman"/>
          <w:i/>
          <w:iCs/>
          <w:color w:val="333333"/>
          <w:bdr w:val="none" w:sz="0" w:space="0" w:color="auto" w:frame="1"/>
        </w:rPr>
        <w:t>offline mode</w:t>
      </w:r>
      <w:r w:rsidRPr="00782AD4">
        <w:rPr>
          <w:rFonts w:ascii="Helvetica" w:eastAsia="Times New Roman" w:hAnsi="Helvetica" w:cs="Times New Roman"/>
          <w:color w:val="333333"/>
        </w:rPr>
        <w:t xml:space="preserve"> provided a check if the firm met eligibility criteria and respondents were authentic. </w:t>
      </w:r>
      <w:r w:rsidRPr="00782AD4">
        <w:rPr>
          <w:rFonts w:ascii="Helvetica" w:eastAsia="Times New Roman" w:hAnsi="Helvetica" w:cs="Times New Roman"/>
          <w:color w:val="333333"/>
        </w:rPr>
        <w:lastRenderedPageBreak/>
        <w:t>Third, participation in online surveys also is low in India due to confidentiality concerns; in-person survey administration addresses this issue. Finally, to increase response rates and data reliability, we conducted follow-up calls and in-person meetings. Therefore, we hired and trained local RAs in India for gathering data. They sent emails to firms soliciting participation. The invitations explained the study's purpose and benefits. Two follow-up calls were made, in which the contact details of the two potential respondents were collected and participation confirmed. Last, surveys were administered via onsite visits and meetings arranged during and after local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conferences. A summary of our findings and a small souvenir incentivized participation.</w:t>
      </w:r>
    </w:p>
    <w:p w14:paraId="0D15A19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Two senior managers at each organization were administered separate questionnaires, to collect the independent and dependent variables. The first collected dependent variables concerning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flexibility and firm performance from the top-ranking executive responsible (CEO or equivalent); they are likely to be most knowledgeable of a firm's strategy and performance. The second contained questions pertaining to the independent variables for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capabilities and was administered to the top-ranking IT executive (CIO or equivalent). We obtained data for control variables from both kinds of respondents. We separated our sources of information, reducing concerns about bias, and this design also allowed us to use items that were suitable to each respondent's domain knowledge.[18]</w:t>
      </w:r>
    </w:p>
    <w:p w14:paraId="11E5E991"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48" w:anchor="toc" w:tooltip="Descriptive Statistics" w:history="1">
        <w:r w:rsidRPr="00782AD4">
          <w:rPr>
            <w:rFonts w:ascii="Helvetica" w:eastAsia="Times New Roman" w:hAnsi="Helvetica" w:cs="Times New Roman"/>
            <w:b/>
            <w:bCs/>
            <w:color w:val="005BC6"/>
            <w:bdr w:val="none" w:sz="0" w:space="0" w:color="auto" w:frame="1"/>
          </w:rPr>
          <w:t>Descriptive Statistics</w:t>
        </w:r>
      </w:hyperlink>
    </w:p>
    <w:p w14:paraId="3C3E17D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The final sample has 147 firms, after we dropped incomplete responses from 18 firms, and others from which we did not receive responses to both questionnaires. The firms hail from manufacturing, IT and services, food and healthcare, and other industries. The average </w:t>
      </w:r>
      <w:r w:rsidRPr="00782AD4">
        <w:rPr>
          <w:rFonts w:ascii="Helvetica" w:eastAsia="Times New Roman" w:hAnsi="Helvetica" w:cs="Times New Roman"/>
          <w:i/>
          <w:iCs/>
          <w:color w:val="333333"/>
          <w:bdr w:val="none" w:sz="0" w:space="0" w:color="auto" w:frame="1"/>
        </w:rPr>
        <w:t>FirmAge</w:t>
      </w:r>
      <w:r w:rsidRPr="00782AD4">
        <w:rPr>
          <w:rFonts w:ascii="Helvetica" w:eastAsia="Times New Roman" w:hAnsi="Helvetica" w:cs="Times New Roman"/>
          <w:color w:val="333333"/>
        </w:rPr>
        <w:t> is 4.5 years and </w:t>
      </w:r>
      <w:r w:rsidRPr="00782AD4">
        <w:rPr>
          <w:rFonts w:ascii="Helvetica" w:eastAsia="Times New Roman" w:hAnsi="Helvetica" w:cs="Times New Roman"/>
          <w:i/>
          <w:iCs/>
          <w:color w:val="333333"/>
          <w:bdr w:val="none" w:sz="0" w:space="0" w:color="auto" w:frame="1"/>
        </w:rPr>
        <w:t>FirmSize</w:t>
      </w:r>
      <w:r w:rsidRPr="00782AD4">
        <w:rPr>
          <w:rFonts w:ascii="Helvetica" w:eastAsia="Times New Roman" w:hAnsi="Helvetica" w:cs="Times New Roman"/>
          <w:color w:val="333333"/>
        </w:rPr>
        <w:t>is 1,554 employees. Tables 1 and 2 present the firm characteristics and descriptive statistics.[19]</w:t>
      </w:r>
    </w:p>
    <w:p w14:paraId="3526A8B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Respondent Firm Characteristics</w:t>
      </w:r>
    </w:p>
    <w:tbl>
      <w:tblPr>
        <w:tblW w:w="0" w:type="auto"/>
        <w:tblCellMar>
          <w:left w:w="0" w:type="dxa"/>
          <w:right w:w="0" w:type="dxa"/>
        </w:tblCellMar>
        <w:tblLook w:val="04A0" w:firstRow="1" w:lastRow="0" w:firstColumn="1" w:lastColumn="0" w:noHBand="0" w:noVBand="1"/>
      </w:tblPr>
      <w:tblGrid>
        <w:gridCol w:w="2121"/>
        <w:gridCol w:w="2242"/>
        <w:gridCol w:w="267"/>
        <w:gridCol w:w="2561"/>
        <w:gridCol w:w="1282"/>
        <w:gridCol w:w="267"/>
      </w:tblGrid>
      <w:tr w:rsidR="00782AD4" w:rsidRPr="00782AD4" w14:paraId="1847A55D" w14:textId="77777777" w:rsidTr="00782AD4">
        <w:tc>
          <w:tcPr>
            <w:tcW w:w="0" w:type="auto"/>
            <w:tcBorders>
              <w:top w:val="nil"/>
              <w:left w:val="nil"/>
              <w:bottom w:val="nil"/>
              <w:right w:val="nil"/>
            </w:tcBorders>
            <w:shd w:val="clear" w:color="auto" w:fill="auto"/>
            <w:vAlign w:val="bottom"/>
            <w:hideMark/>
          </w:tcPr>
          <w:p w14:paraId="2722709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Characteristic</w:t>
            </w:r>
          </w:p>
        </w:tc>
        <w:tc>
          <w:tcPr>
            <w:tcW w:w="0" w:type="auto"/>
            <w:tcBorders>
              <w:top w:val="nil"/>
              <w:left w:val="nil"/>
              <w:bottom w:val="nil"/>
              <w:right w:val="nil"/>
            </w:tcBorders>
            <w:shd w:val="clear" w:color="auto" w:fill="auto"/>
            <w:vAlign w:val="bottom"/>
            <w:hideMark/>
          </w:tcPr>
          <w:p w14:paraId="6F46D022"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Category</w:t>
            </w:r>
          </w:p>
        </w:tc>
        <w:tc>
          <w:tcPr>
            <w:tcW w:w="0" w:type="auto"/>
            <w:tcBorders>
              <w:top w:val="nil"/>
              <w:left w:val="nil"/>
              <w:bottom w:val="nil"/>
              <w:right w:val="nil"/>
            </w:tcBorders>
            <w:shd w:val="clear" w:color="auto" w:fill="auto"/>
            <w:vAlign w:val="bottom"/>
            <w:hideMark/>
          </w:tcPr>
          <w:p w14:paraId="0AABA2CA"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7590CB5D"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Characteristic</w:t>
            </w:r>
          </w:p>
        </w:tc>
        <w:tc>
          <w:tcPr>
            <w:tcW w:w="0" w:type="auto"/>
            <w:tcBorders>
              <w:top w:val="nil"/>
              <w:left w:val="nil"/>
              <w:bottom w:val="nil"/>
              <w:right w:val="nil"/>
            </w:tcBorders>
            <w:shd w:val="clear" w:color="auto" w:fill="auto"/>
            <w:vAlign w:val="bottom"/>
            <w:hideMark/>
          </w:tcPr>
          <w:p w14:paraId="4ED6A087"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Category</w:t>
            </w:r>
          </w:p>
        </w:tc>
        <w:tc>
          <w:tcPr>
            <w:tcW w:w="0" w:type="auto"/>
            <w:tcBorders>
              <w:top w:val="nil"/>
              <w:left w:val="nil"/>
              <w:bottom w:val="nil"/>
              <w:right w:val="nil"/>
            </w:tcBorders>
            <w:shd w:val="clear" w:color="auto" w:fill="auto"/>
            <w:vAlign w:val="bottom"/>
            <w:hideMark/>
          </w:tcPr>
          <w:p w14:paraId="1AD92AB2"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r>
      <w:tr w:rsidR="00782AD4" w:rsidRPr="00782AD4" w14:paraId="67C7F254" w14:textId="77777777" w:rsidTr="00782AD4">
        <w:tc>
          <w:tcPr>
            <w:tcW w:w="0" w:type="auto"/>
            <w:vMerge w:val="restart"/>
            <w:tcBorders>
              <w:top w:val="nil"/>
              <w:left w:val="nil"/>
              <w:bottom w:val="nil"/>
              <w:right w:val="nil"/>
            </w:tcBorders>
            <w:shd w:val="clear" w:color="auto" w:fill="auto"/>
            <w:vAlign w:val="bottom"/>
            <w:hideMark/>
          </w:tcPr>
          <w:p w14:paraId="0F9FAB3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Industry</w:t>
            </w:r>
          </w:p>
        </w:tc>
        <w:tc>
          <w:tcPr>
            <w:tcW w:w="0" w:type="auto"/>
            <w:tcBorders>
              <w:top w:val="nil"/>
              <w:left w:val="nil"/>
              <w:bottom w:val="nil"/>
              <w:right w:val="nil"/>
            </w:tcBorders>
            <w:shd w:val="clear" w:color="auto" w:fill="auto"/>
            <w:vAlign w:val="bottom"/>
            <w:hideMark/>
          </w:tcPr>
          <w:p w14:paraId="7B77386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Manufacturing</w:t>
            </w:r>
          </w:p>
        </w:tc>
        <w:tc>
          <w:tcPr>
            <w:tcW w:w="0" w:type="auto"/>
            <w:tcBorders>
              <w:top w:val="nil"/>
              <w:left w:val="nil"/>
              <w:bottom w:val="nil"/>
              <w:right w:val="nil"/>
            </w:tcBorders>
            <w:shd w:val="clear" w:color="auto" w:fill="auto"/>
            <w:vAlign w:val="bottom"/>
            <w:hideMark/>
          </w:tcPr>
          <w:p w14:paraId="27BCFF0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20</w:t>
            </w:r>
          </w:p>
        </w:tc>
        <w:tc>
          <w:tcPr>
            <w:tcW w:w="0" w:type="auto"/>
            <w:vMerge w:val="restart"/>
            <w:tcBorders>
              <w:top w:val="nil"/>
              <w:left w:val="nil"/>
              <w:bottom w:val="nil"/>
              <w:right w:val="nil"/>
            </w:tcBorders>
            <w:shd w:val="clear" w:color="auto" w:fill="auto"/>
            <w:vAlign w:val="bottom"/>
            <w:hideMark/>
          </w:tcPr>
          <w:p w14:paraId="1890570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FirmSize (# Employees)</w:t>
            </w:r>
          </w:p>
        </w:tc>
        <w:tc>
          <w:tcPr>
            <w:tcW w:w="0" w:type="auto"/>
            <w:tcBorders>
              <w:top w:val="nil"/>
              <w:left w:val="nil"/>
              <w:bottom w:val="nil"/>
              <w:right w:val="nil"/>
            </w:tcBorders>
            <w:shd w:val="clear" w:color="auto" w:fill="auto"/>
            <w:vAlign w:val="bottom"/>
            <w:hideMark/>
          </w:tcPr>
          <w:p w14:paraId="74679D2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&lt; 100</w:t>
            </w:r>
          </w:p>
        </w:tc>
        <w:tc>
          <w:tcPr>
            <w:tcW w:w="0" w:type="auto"/>
            <w:tcBorders>
              <w:top w:val="nil"/>
              <w:left w:val="nil"/>
              <w:bottom w:val="nil"/>
              <w:right w:val="nil"/>
            </w:tcBorders>
            <w:shd w:val="clear" w:color="auto" w:fill="auto"/>
            <w:vAlign w:val="bottom"/>
            <w:hideMark/>
          </w:tcPr>
          <w:p w14:paraId="4605CE4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53</w:t>
            </w:r>
          </w:p>
        </w:tc>
      </w:tr>
      <w:tr w:rsidR="00782AD4" w:rsidRPr="00782AD4" w14:paraId="2D6A8A33" w14:textId="77777777" w:rsidTr="00782AD4">
        <w:tc>
          <w:tcPr>
            <w:tcW w:w="0" w:type="auto"/>
            <w:vMerge/>
            <w:tcBorders>
              <w:top w:val="nil"/>
              <w:left w:val="nil"/>
              <w:bottom w:val="nil"/>
              <w:right w:val="nil"/>
            </w:tcBorders>
            <w:shd w:val="clear" w:color="auto" w:fill="auto"/>
            <w:vAlign w:val="bottom"/>
            <w:hideMark/>
          </w:tcPr>
          <w:p w14:paraId="7CA86D9C"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6481E57E"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Services</w:t>
            </w:r>
          </w:p>
        </w:tc>
        <w:tc>
          <w:tcPr>
            <w:tcW w:w="0" w:type="auto"/>
            <w:tcBorders>
              <w:top w:val="nil"/>
              <w:left w:val="nil"/>
              <w:bottom w:val="nil"/>
              <w:right w:val="nil"/>
            </w:tcBorders>
            <w:shd w:val="clear" w:color="auto" w:fill="auto"/>
            <w:vAlign w:val="bottom"/>
            <w:hideMark/>
          </w:tcPr>
          <w:p w14:paraId="664DFB4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24</w:t>
            </w:r>
          </w:p>
        </w:tc>
        <w:tc>
          <w:tcPr>
            <w:tcW w:w="0" w:type="auto"/>
            <w:vMerge/>
            <w:tcBorders>
              <w:top w:val="nil"/>
              <w:left w:val="nil"/>
              <w:bottom w:val="nil"/>
              <w:right w:val="nil"/>
            </w:tcBorders>
            <w:shd w:val="clear" w:color="auto" w:fill="auto"/>
            <w:vAlign w:val="bottom"/>
            <w:hideMark/>
          </w:tcPr>
          <w:p w14:paraId="58AE7B5C"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38BF4FB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100-499</w:t>
            </w:r>
          </w:p>
        </w:tc>
        <w:tc>
          <w:tcPr>
            <w:tcW w:w="0" w:type="auto"/>
            <w:tcBorders>
              <w:top w:val="nil"/>
              <w:left w:val="nil"/>
              <w:bottom w:val="nil"/>
              <w:right w:val="nil"/>
            </w:tcBorders>
            <w:shd w:val="clear" w:color="auto" w:fill="auto"/>
            <w:vAlign w:val="bottom"/>
            <w:hideMark/>
          </w:tcPr>
          <w:p w14:paraId="1E61EA6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13</w:t>
            </w:r>
          </w:p>
        </w:tc>
      </w:tr>
      <w:tr w:rsidR="00782AD4" w:rsidRPr="00782AD4" w14:paraId="65F4D677" w14:textId="77777777" w:rsidTr="00782AD4">
        <w:tc>
          <w:tcPr>
            <w:tcW w:w="0" w:type="auto"/>
            <w:vMerge/>
            <w:tcBorders>
              <w:top w:val="nil"/>
              <w:left w:val="nil"/>
              <w:bottom w:val="nil"/>
              <w:right w:val="nil"/>
            </w:tcBorders>
            <w:shd w:val="clear" w:color="auto" w:fill="auto"/>
            <w:vAlign w:val="bottom"/>
            <w:hideMark/>
          </w:tcPr>
          <w:p w14:paraId="6B448803"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3F22D1D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New Econ. Firm</w:t>
            </w:r>
          </w:p>
        </w:tc>
        <w:tc>
          <w:tcPr>
            <w:tcW w:w="0" w:type="auto"/>
            <w:tcBorders>
              <w:top w:val="nil"/>
              <w:left w:val="nil"/>
              <w:bottom w:val="nil"/>
              <w:right w:val="nil"/>
            </w:tcBorders>
            <w:shd w:val="clear" w:color="auto" w:fill="auto"/>
            <w:vAlign w:val="bottom"/>
            <w:hideMark/>
          </w:tcPr>
          <w:p w14:paraId="35D96E4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28</w:t>
            </w:r>
          </w:p>
        </w:tc>
        <w:tc>
          <w:tcPr>
            <w:tcW w:w="0" w:type="auto"/>
            <w:vMerge/>
            <w:tcBorders>
              <w:top w:val="nil"/>
              <w:left w:val="nil"/>
              <w:bottom w:val="nil"/>
              <w:right w:val="nil"/>
            </w:tcBorders>
            <w:shd w:val="clear" w:color="auto" w:fill="auto"/>
            <w:vAlign w:val="bottom"/>
            <w:hideMark/>
          </w:tcPr>
          <w:p w14:paraId="7168DB68"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5EB60C6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500-999</w:t>
            </w:r>
          </w:p>
        </w:tc>
        <w:tc>
          <w:tcPr>
            <w:tcW w:w="0" w:type="auto"/>
            <w:tcBorders>
              <w:top w:val="nil"/>
              <w:left w:val="nil"/>
              <w:bottom w:val="nil"/>
              <w:right w:val="nil"/>
            </w:tcBorders>
            <w:shd w:val="clear" w:color="auto" w:fill="auto"/>
            <w:vAlign w:val="bottom"/>
            <w:hideMark/>
          </w:tcPr>
          <w:p w14:paraId="0906D3B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15</w:t>
            </w:r>
          </w:p>
        </w:tc>
      </w:tr>
      <w:tr w:rsidR="00782AD4" w:rsidRPr="00782AD4" w14:paraId="2CE33DDD" w14:textId="77777777" w:rsidTr="00782AD4">
        <w:tc>
          <w:tcPr>
            <w:tcW w:w="0" w:type="auto"/>
            <w:vMerge/>
            <w:tcBorders>
              <w:top w:val="nil"/>
              <w:left w:val="nil"/>
              <w:bottom w:val="nil"/>
              <w:right w:val="nil"/>
            </w:tcBorders>
            <w:shd w:val="clear" w:color="auto" w:fill="auto"/>
            <w:vAlign w:val="bottom"/>
            <w:hideMark/>
          </w:tcPr>
          <w:p w14:paraId="7CD47BE7"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7EA2439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Trading and Retail</w:t>
            </w:r>
          </w:p>
        </w:tc>
        <w:tc>
          <w:tcPr>
            <w:tcW w:w="0" w:type="auto"/>
            <w:tcBorders>
              <w:top w:val="nil"/>
              <w:left w:val="nil"/>
              <w:bottom w:val="nil"/>
              <w:right w:val="nil"/>
            </w:tcBorders>
            <w:shd w:val="clear" w:color="auto" w:fill="auto"/>
            <w:vAlign w:val="bottom"/>
            <w:hideMark/>
          </w:tcPr>
          <w:p w14:paraId="3208605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21</w:t>
            </w:r>
          </w:p>
        </w:tc>
        <w:tc>
          <w:tcPr>
            <w:tcW w:w="0" w:type="auto"/>
            <w:vMerge/>
            <w:tcBorders>
              <w:top w:val="nil"/>
              <w:left w:val="nil"/>
              <w:bottom w:val="nil"/>
              <w:right w:val="nil"/>
            </w:tcBorders>
            <w:shd w:val="clear" w:color="auto" w:fill="auto"/>
            <w:vAlign w:val="bottom"/>
            <w:hideMark/>
          </w:tcPr>
          <w:p w14:paraId="0665752E"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7D4D0B5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1,000-4,999</w:t>
            </w:r>
          </w:p>
        </w:tc>
        <w:tc>
          <w:tcPr>
            <w:tcW w:w="0" w:type="auto"/>
            <w:tcBorders>
              <w:top w:val="nil"/>
              <w:left w:val="nil"/>
              <w:bottom w:val="nil"/>
              <w:right w:val="nil"/>
            </w:tcBorders>
            <w:shd w:val="clear" w:color="auto" w:fill="auto"/>
            <w:vAlign w:val="bottom"/>
            <w:hideMark/>
          </w:tcPr>
          <w:p w14:paraId="0FB8500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8</w:t>
            </w:r>
          </w:p>
        </w:tc>
      </w:tr>
      <w:tr w:rsidR="00782AD4" w:rsidRPr="00782AD4" w14:paraId="1C4A53D9" w14:textId="77777777" w:rsidTr="00782AD4">
        <w:tc>
          <w:tcPr>
            <w:tcW w:w="0" w:type="auto"/>
            <w:vMerge/>
            <w:tcBorders>
              <w:top w:val="nil"/>
              <w:left w:val="nil"/>
              <w:bottom w:val="nil"/>
              <w:right w:val="nil"/>
            </w:tcBorders>
            <w:shd w:val="clear" w:color="auto" w:fill="auto"/>
            <w:vAlign w:val="bottom"/>
            <w:hideMark/>
          </w:tcPr>
          <w:p w14:paraId="24C923E6"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5372F58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Food and Healthcare</w:t>
            </w:r>
          </w:p>
        </w:tc>
        <w:tc>
          <w:tcPr>
            <w:tcW w:w="0" w:type="auto"/>
            <w:tcBorders>
              <w:top w:val="nil"/>
              <w:left w:val="nil"/>
              <w:bottom w:val="nil"/>
              <w:right w:val="nil"/>
            </w:tcBorders>
            <w:shd w:val="clear" w:color="auto" w:fill="auto"/>
            <w:vAlign w:val="bottom"/>
            <w:hideMark/>
          </w:tcPr>
          <w:p w14:paraId="7C417CF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7</w:t>
            </w:r>
          </w:p>
        </w:tc>
        <w:tc>
          <w:tcPr>
            <w:tcW w:w="0" w:type="auto"/>
            <w:vMerge/>
            <w:tcBorders>
              <w:top w:val="nil"/>
              <w:left w:val="nil"/>
              <w:bottom w:val="nil"/>
              <w:right w:val="nil"/>
            </w:tcBorders>
            <w:shd w:val="clear" w:color="auto" w:fill="auto"/>
            <w:vAlign w:val="bottom"/>
            <w:hideMark/>
          </w:tcPr>
          <w:p w14:paraId="776378B9"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3E1B5A8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5,000-9,999</w:t>
            </w:r>
          </w:p>
        </w:tc>
        <w:tc>
          <w:tcPr>
            <w:tcW w:w="0" w:type="auto"/>
            <w:tcBorders>
              <w:top w:val="nil"/>
              <w:left w:val="nil"/>
              <w:bottom w:val="nil"/>
              <w:right w:val="nil"/>
            </w:tcBorders>
            <w:shd w:val="clear" w:color="auto" w:fill="auto"/>
            <w:vAlign w:val="bottom"/>
            <w:hideMark/>
          </w:tcPr>
          <w:p w14:paraId="3A6DAB1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w:t>
            </w:r>
          </w:p>
        </w:tc>
      </w:tr>
      <w:tr w:rsidR="00782AD4" w:rsidRPr="00782AD4" w14:paraId="582AC4BE" w14:textId="77777777" w:rsidTr="00782AD4">
        <w:tc>
          <w:tcPr>
            <w:tcW w:w="0" w:type="auto"/>
            <w:vMerge/>
            <w:tcBorders>
              <w:top w:val="nil"/>
              <w:left w:val="nil"/>
              <w:bottom w:val="nil"/>
              <w:right w:val="nil"/>
            </w:tcBorders>
            <w:shd w:val="clear" w:color="auto" w:fill="auto"/>
            <w:vAlign w:val="bottom"/>
            <w:hideMark/>
          </w:tcPr>
          <w:p w14:paraId="6A7F7D47"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37F5F7A4"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722A292A" w14:textId="77777777" w:rsidR="00782AD4" w:rsidRPr="00782AD4" w:rsidRDefault="00782AD4" w:rsidP="00782AD4">
            <w:pPr>
              <w:rPr>
                <w:rFonts w:ascii="Times New Roman" w:eastAsia="Times New Roman" w:hAnsi="Times New Roman" w:cs="Times New Roman"/>
              </w:rPr>
            </w:pPr>
          </w:p>
        </w:tc>
        <w:tc>
          <w:tcPr>
            <w:tcW w:w="0" w:type="auto"/>
            <w:vMerge/>
            <w:tcBorders>
              <w:top w:val="nil"/>
              <w:left w:val="nil"/>
              <w:bottom w:val="nil"/>
              <w:right w:val="nil"/>
            </w:tcBorders>
            <w:shd w:val="clear" w:color="auto" w:fill="auto"/>
            <w:vAlign w:val="bottom"/>
            <w:hideMark/>
          </w:tcPr>
          <w:p w14:paraId="567A2140"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265A6AC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&gt; 10,000</w:t>
            </w:r>
          </w:p>
        </w:tc>
        <w:tc>
          <w:tcPr>
            <w:tcW w:w="0" w:type="auto"/>
            <w:tcBorders>
              <w:top w:val="nil"/>
              <w:left w:val="nil"/>
              <w:bottom w:val="nil"/>
              <w:right w:val="nil"/>
            </w:tcBorders>
            <w:shd w:val="clear" w:color="auto" w:fill="auto"/>
            <w:vAlign w:val="bottom"/>
            <w:hideMark/>
          </w:tcPr>
          <w:p w14:paraId="75BFBFB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w:t>
            </w:r>
          </w:p>
        </w:tc>
      </w:tr>
      <w:tr w:rsidR="00782AD4" w:rsidRPr="00782AD4" w14:paraId="32BB2CED" w14:textId="77777777" w:rsidTr="00782AD4">
        <w:tc>
          <w:tcPr>
            <w:tcW w:w="0" w:type="auto"/>
            <w:vMerge w:val="restart"/>
            <w:tcBorders>
              <w:top w:val="nil"/>
              <w:left w:val="nil"/>
              <w:bottom w:val="nil"/>
              <w:right w:val="nil"/>
            </w:tcBorders>
            <w:shd w:val="clear" w:color="auto" w:fill="auto"/>
            <w:vAlign w:val="bottom"/>
            <w:hideMark/>
          </w:tcPr>
          <w:p w14:paraId="7BCA913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OwnershipStructure</w:t>
            </w:r>
          </w:p>
        </w:tc>
        <w:tc>
          <w:tcPr>
            <w:tcW w:w="0" w:type="auto"/>
            <w:tcBorders>
              <w:top w:val="nil"/>
              <w:left w:val="nil"/>
              <w:bottom w:val="nil"/>
              <w:right w:val="nil"/>
            </w:tcBorders>
            <w:shd w:val="clear" w:color="auto" w:fill="auto"/>
            <w:vAlign w:val="bottom"/>
            <w:hideMark/>
          </w:tcPr>
          <w:p w14:paraId="25314C1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Foreign Subsidiary</w:t>
            </w:r>
          </w:p>
        </w:tc>
        <w:tc>
          <w:tcPr>
            <w:tcW w:w="0" w:type="auto"/>
            <w:tcBorders>
              <w:top w:val="nil"/>
              <w:left w:val="nil"/>
              <w:bottom w:val="nil"/>
              <w:right w:val="nil"/>
            </w:tcBorders>
            <w:shd w:val="clear" w:color="auto" w:fill="auto"/>
            <w:vAlign w:val="bottom"/>
            <w:hideMark/>
          </w:tcPr>
          <w:p w14:paraId="6F41AE4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12</w:t>
            </w:r>
          </w:p>
        </w:tc>
        <w:tc>
          <w:tcPr>
            <w:tcW w:w="0" w:type="auto"/>
            <w:vMerge w:val="restart"/>
            <w:tcBorders>
              <w:top w:val="nil"/>
              <w:left w:val="nil"/>
              <w:bottom w:val="nil"/>
              <w:right w:val="nil"/>
            </w:tcBorders>
            <w:shd w:val="clear" w:color="auto" w:fill="auto"/>
            <w:vAlign w:val="bottom"/>
            <w:hideMark/>
          </w:tcPr>
          <w:p w14:paraId="45C8C1E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FirmAge (years)</w:t>
            </w:r>
          </w:p>
        </w:tc>
        <w:tc>
          <w:tcPr>
            <w:tcW w:w="0" w:type="auto"/>
            <w:tcBorders>
              <w:top w:val="nil"/>
              <w:left w:val="nil"/>
              <w:bottom w:val="nil"/>
              <w:right w:val="nil"/>
            </w:tcBorders>
            <w:shd w:val="clear" w:color="auto" w:fill="auto"/>
            <w:vAlign w:val="bottom"/>
            <w:hideMark/>
          </w:tcPr>
          <w:p w14:paraId="41C36D3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1-5</w:t>
            </w:r>
          </w:p>
        </w:tc>
        <w:tc>
          <w:tcPr>
            <w:tcW w:w="0" w:type="auto"/>
            <w:tcBorders>
              <w:top w:val="nil"/>
              <w:left w:val="nil"/>
              <w:bottom w:val="nil"/>
              <w:right w:val="nil"/>
            </w:tcBorders>
            <w:shd w:val="clear" w:color="auto" w:fill="auto"/>
            <w:vAlign w:val="bottom"/>
            <w:hideMark/>
          </w:tcPr>
          <w:p w14:paraId="0140EC7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55</w:t>
            </w:r>
          </w:p>
        </w:tc>
      </w:tr>
      <w:tr w:rsidR="00782AD4" w:rsidRPr="00782AD4" w14:paraId="7EF20080" w14:textId="77777777" w:rsidTr="00782AD4">
        <w:tc>
          <w:tcPr>
            <w:tcW w:w="0" w:type="auto"/>
            <w:vMerge/>
            <w:tcBorders>
              <w:top w:val="nil"/>
              <w:left w:val="nil"/>
              <w:bottom w:val="nil"/>
              <w:right w:val="nil"/>
            </w:tcBorders>
            <w:shd w:val="clear" w:color="auto" w:fill="auto"/>
            <w:vAlign w:val="bottom"/>
            <w:hideMark/>
          </w:tcPr>
          <w:p w14:paraId="51B74854"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7F5EA7C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Joint Venture</w:t>
            </w:r>
          </w:p>
        </w:tc>
        <w:tc>
          <w:tcPr>
            <w:tcW w:w="0" w:type="auto"/>
            <w:tcBorders>
              <w:top w:val="nil"/>
              <w:left w:val="nil"/>
              <w:bottom w:val="nil"/>
              <w:right w:val="nil"/>
            </w:tcBorders>
            <w:shd w:val="clear" w:color="auto" w:fill="auto"/>
            <w:vAlign w:val="bottom"/>
            <w:hideMark/>
          </w:tcPr>
          <w:p w14:paraId="6D56623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17</w:t>
            </w:r>
          </w:p>
        </w:tc>
        <w:tc>
          <w:tcPr>
            <w:tcW w:w="0" w:type="auto"/>
            <w:vMerge/>
            <w:tcBorders>
              <w:top w:val="nil"/>
              <w:left w:val="nil"/>
              <w:bottom w:val="nil"/>
              <w:right w:val="nil"/>
            </w:tcBorders>
            <w:shd w:val="clear" w:color="auto" w:fill="auto"/>
            <w:vAlign w:val="bottom"/>
            <w:hideMark/>
          </w:tcPr>
          <w:p w14:paraId="2601CBF1"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2DF9A3C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6-10</w:t>
            </w:r>
          </w:p>
        </w:tc>
        <w:tc>
          <w:tcPr>
            <w:tcW w:w="0" w:type="auto"/>
            <w:tcBorders>
              <w:top w:val="nil"/>
              <w:left w:val="nil"/>
              <w:bottom w:val="nil"/>
              <w:right w:val="nil"/>
            </w:tcBorders>
            <w:shd w:val="clear" w:color="auto" w:fill="auto"/>
            <w:vAlign w:val="bottom"/>
            <w:hideMark/>
          </w:tcPr>
          <w:p w14:paraId="5D0E0C1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20</w:t>
            </w:r>
          </w:p>
        </w:tc>
      </w:tr>
      <w:tr w:rsidR="00782AD4" w:rsidRPr="00782AD4" w14:paraId="0DB5AD9B" w14:textId="77777777" w:rsidTr="00782AD4">
        <w:tc>
          <w:tcPr>
            <w:tcW w:w="0" w:type="auto"/>
            <w:vMerge/>
            <w:tcBorders>
              <w:top w:val="nil"/>
              <w:left w:val="nil"/>
              <w:bottom w:val="nil"/>
              <w:right w:val="nil"/>
            </w:tcBorders>
            <w:shd w:val="clear" w:color="auto" w:fill="auto"/>
            <w:vAlign w:val="bottom"/>
            <w:hideMark/>
          </w:tcPr>
          <w:p w14:paraId="250A3945"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1443CED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Indian Public</w:t>
            </w:r>
          </w:p>
        </w:tc>
        <w:tc>
          <w:tcPr>
            <w:tcW w:w="0" w:type="auto"/>
            <w:tcBorders>
              <w:top w:val="nil"/>
              <w:left w:val="nil"/>
              <w:bottom w:val="nil"/>
              <w:right w:val="nil"/>
            </w:tcBorders>
            <w:shd w:val="clear" w:color="auto" w:fill="auto"/>
            <w:vAlign w:val="bottom"/>
            <w:hideMark/>
          </w:tcPr>
          <w:p w14:paraId="08626EC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8</w:t>
            </w:r>
          </w:p>
        </w:tc>
        <w:tc>
          <w:tcPr>
            <w:tcW w:w="0" w:type="auto"/>
            <w:vMerge/>
            <w:tcBorders>
              <w:top w:val="nil"/>
              <w:left w:val="nil"/>
              <w:bottom w:val="nil"/>
              <w:right w:val="nil"/>
            </w:tcBorders>
            <w:shd w:val="clear" w:color="auto" w:fill="auto"/>
            <w:vAlign w:val="bottom"/>
            <w:hideMark/>
          </w:tcPr>
          <w:p w14:paraId="4340F1B5"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2D857AAE"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11-20</w:t>
            </w:r>
          </w:p>
        </w:tc>
        <w:tc>
          <w:tcPr>
            <w:tcW w:w="0" w:type="auto"/>
            <w:tcBorders>
              <w:top w:val="nil"/>
              <w:left w:val="nil"/>
              <w:bottom w:val="nil"/>
              <w:right w:val="nil"/>
            </w:tcBorders>
            <w:shd w:val="clear" w:color="auto" w:fill="auto"/>
            <w:vAlign w:val="bottom"/>
            <w:hideMark/>
          </w:tcPr>
          <w:p w14:paraId="74C03B7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13</w:t>
            </w:r>
          </w:p>
        </w:tc>
      </w:tr>
      <w:tr w:rsidR="00782AD4" w:rsidRPr="00782AD4" w14:paraId="7368CD9C" w14:textId="77777777" w:rsidTr="00782AD4">
        <w:tc>
          <w:tcPr>
            <w:tcW w:w="0" w:type="auto"/>
            <w:vMerge/>
            <w:tcBorders>
              <w:top w:val="nil"/>
              <w:left w:val="nil"/>
              <w:bottom w:val="nil"/>
              <w:right w:val="nil"/>
            </w:tcBorders>
            <w:shd w:val="clear" w:color="auto" w:fill="auto"/>
            <w:vAlign w:val="bottom"/>
            <w:hideMark/>
          </w:tcPr>
          <w:p w14:paraId="0DD1CC7B"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449E54D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Indian Private</w:t>
            </w:r>
          </w:p>
        </w:tc>
        <w:tc>
          <w:tcPr>
            <w:tcW w:w="0" w:type="auto"/>
            <w:tcBorders>
              <w:top w:val="nil"/>
              <w:left w:val="nil"/>
              <w:bottom w:val="nil"/>
              <w:right w:val="nil"/>
            </w:tcBorders>
            <w:shd w:val="clear" w:color="auto" w:fill="auto"/>
            <w:vAlign w:val="bottom"/>
            <w:hideMark/>
          </w:tcPr>
          <w:p w14:paraId="092A756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63</w:t>
            </w:r>
          </w:p>
        </w:tc>
        <w:tc>
          <w:tcPr>
            <w:tcW w:w="0" w:type="auto"/>
            <w:vMerge/>
            <w:tcBorders>
              <w:top w:val="nil"/>
              <w:left w:val="nil"/>
              <w:bottom w:val="nil"/>
              <w:right w:val="nil"/>
            </w:tcBorders>
            <w:shd w:val="clear" w:color="auto" w:fill="auto"/>
            <w:vAlign w:val="bottom"/>
            <w:hideMark/>
          </w:tcPr>
          <w:p w14:paraId="3CE5F4F0"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5CF267D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21-30</w:t>
            </w:r>
          </w:p>
        </w:tc>
        <w:tc>
          <w:tcPr>
            <w:tcW w:w="0" w:type="auto"/>
            <w:tcBorders>
              <w:top w:val="nil"/>
              <w:left w:val="nil"/>
              <w:bottom w:val="nil"/>
              <w:right w:val="nil"/>
            </w:tcBorders>
            <w:shd w:val="clear" w:color="auto" w:fill="auto"/>
            <w:vAlign w:val="bottom"/>
            <w:hideMark/>
          </w:tcPr>
          <w:p w14:paraId="5A8675F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7</w:t>
            </w:r>
          </w:p>
        </w:tc>
      </w:tr>
      <w:tr w:rsidR="00782AD4" w:rsidRPr="00782AD4" w14:paraId="3DE04C40" w14:textId="77777777" w:rsidTr="00782AD4">
        <w:tc>
          <w:tcPr>
            <w:tcW w:w="0" w:type="auto"/>
            <w:vMerge/>
            <w:tcBorders>
              <w:top w:val="nil"/>
              <w:left w:val="nil"/>
              <w:bottom w:val="nil"/>
              <w:right w:val="nil"/>
            </w:tcBorders>
            <w:shd w:val="clear" w:color="auto" w:fill="auto"/>
            <w:vAlign w:val="bottom"/>
            <w:hideMark/>
          </w:tcPr>
          <w:p w14:paraId="16A4D90E"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4D279978"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033770F5" w14:textId="77777777" w:rsidR="00782AD4" w:rsidRPr="00782AD4" w:rsidRDefault="00782AD4" w:rsidP="00782AD4">
            <w:pPr>
              <w:rPr>
                <w:rFonts w:ascii="Times New Roman" w:eastAsia="Times New Roman" w:hAnsi="Times New Roman" w:cs="Times New Roman"/>
              </w:rPr>
            </w:pPr>
          </w:p>
        </w:tc>
        <w:tc>
          <w:tcPr>
            <w:tcW w:w="0" w:type="auto"/>
            <w:vMerge/>
            <w:tcBorders>
              <w:top w:val="nil"/>
              <w:left w:val="nil"/>
              <w:bottom w:val="nil"/>
              <w:right w:val="nil"/>
            </w:tcBorders>
            <w:shd w:val="clear" w:color="auto" w:fill="auto"/>
            <w:vAlign w:val="bottom"/>
            <w:hideMark/>
          </w:tcPr>
          <w:p w14:paraId="00F50AC0"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53AA0D8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31-40</w:t>
            </w:r>
          </w:p>
        </w:tc>
        <w:tc>
          <w:tcPr>
            <w:tcW w:w="0" w:type="auto"/>
            <w:tcBorders>
              <w:top w:val="nil"/>
              <w:left w:val="nil"/>
              <w:bottom w:val="nil"/>
              <w:right w:val="nil"/>
            </w:tcBorders>
            <w:shd w:val="clear" w:color="auto" w:fill="auto"/>
            <w:vAlign w:val="bottom"/>
            <w:hideMark/>
          </w:tcPr>
          <w:p w14:paraId="3DD5606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3</w:t>
            </w:r>
          </w:p>
        </w:tc>
      </w:tr>
      <w:tr w:rsidR="00782AD4" w:rsidRPr="00782AD4" w14:paraId="3AA760E9" w14:textId="77777777" w:rsidTr="00782AD4">
        <w:tc>
          <w:tcPr>
            <w:tcW w:w="0" w:type="auto"/>
            <w:vMerge/>
            <w:tcBorders>
              <w:top w:val="nil"/>
              <w:left w:val="nil"/>
              <w:bottom w:val="nil"/>
              <w:right w:val="nil"/>
            </w:tcBorders>
            <w:shd w:val="clear" w:color="auto" w:fill="auto"/>
            <w:vAlign w:val="bottom"/>
            <w:hideMark/>
          </w:tcPr>
          <w:p w14:paraId="60D9FE40"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25FBD6A3"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4965E895" w14:textId="77777777" w:rsidR="00782AD4" w:rsidRPr="00782AD4" w:rsidRDefault="00782AD4" w:rsidP="00782AD4">
            <w:pPr>
              <w:rPr>
                <w:rFonts w:ascii="Times New Roman" w:eastAsia="Times New Roman" w:hAnsi="Times New Roman" w:cs="Times New Roman"/>
              </w:rPr>
            </w:pPr>
          </w:p>
        </w:tc>
        <w:tc>
          <w:tcPr>
            <w:tcW w:w="0" w:type="auto"/>
            <w:tcBorders>
              <w:top w:val="nil"/>
              <w:left w:val="nil"/>
              <w:bottom w:val="nil"/>
              <w:right w:val="nil"/>
            </w:tcBorders>
            <w:shd w:val="clear" w:color="auto" w:fill="auto"/>
            <w:vAlign w:val="bottom"/>
            <w:hideMark/>
          </w:tcPr>
          <w:p w14:paraId="65986CE6" w14:textId="77777777" w:rsidR="00782AD4" w:rsidRPr="00782AD4" w:rsidRDefault="00782AD4" w:rsidP="00782AD4">
            <w:pPr>
              <w:rPr>
                <w:rFonts w:ascii="Times New Roman" w:eastAsia="Times New Roman" w:hAnsi="Times New Roman" w:cs="Times New Roman"/>
              </w:rPr>
            </w:pPr>
          </w:p>
        </w:tc>
        <w:tc>
          <w:tcPr>
            <w:tcW w:w="0" w:type="auto"/>
            <w:tcBorders>
              <w:top w:val="nil"/>
              <w:left w:val="nil"/>
              <w:bottom w:val="nil"/>
              <w:right w:val="nil"/>
            </w:tcBorders>
            <w:shd w:val="clear" w:color="auto" w:fill="auto"/>
            <w:vAlign w:val="bottom"/>
            <w:hideMark/>
          </w:tcPr>
          <w:p w14:paraId="2396AC6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&gt; 41</w:t>
            </w:r>
          </w:p>
        </w:tc>
        <w:tc>
          <w:tcPr>
            <w:tcW w:w="0" w:type="auto"/>
            <w:tcBorders>
              <w:top w:val="nil"/>
              <w:left w:val="nil"/>
              <w:bottom w:val="nil"/>
              <w:right w:val="nil"/>
            </w:tcBorders>
            <w:shd w:val="clear" w:color="auto" w:fill="auto"/>
            <w:vAlign w:val="bottom"/>
            <w:hideMark/>
          </w:tcPr>
          <w:p w14:paraId="666137D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w:t>
            </w:r>
          </w:p>
        </w:tc>
      </w:tr>
    </w:tbl>
    <w:p w14:paraId="423D9A8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Descriptive Statistics</w:t>
      </w:r>
    </w:p>
    <w:tbl>
      <w:tblPr>
        <w:tblW w:w="0" w:type="auto"/>
        <w:tblCellMar>
          <w:left w:w="0" w:type="dxa"/>
          <w:right w:w="0" w:type="dxa"/>
        </w:tblCellMar>
        <w:tblLook w:val="04A0" w:firstRow="1" w:lastRow="0" w:firstColumn="1" w:lastColumn="0" w:noHBand="0" w:noVBand="1"/>
      </w:tblPr>
      <w:tblGrid>
        <w:gridCol w:w="1270"/>
        <w:gridCol w:w="784"/>
        <w:gridCol w:w="1288"/>
        <w:gridCol w:w="610"/>
        <w:gridCol w:w="610"/>
      </w:tblGrid>
      <w:tr w:rsidR="00782AD4" w:rsidRPr="00782AD4" w14:paraId="0C26C3A2" w14:textId="77777777" w:rsidTr="00782AD4">
        <w:tc>
          <w:tcPr>
            <w:tcW w:w="0" w:type="auto"/>
            <w:tcBorders>
              <w:top w:val="nil"/>
              <w:left w:val="nil"/>
              <w:bottom w:val="nil"/>
              <w:right w:val="nil"/>
            </w:tcBorders>
            <w:shd w:val="clear" w:color="auto" w:fill="auto"/>
            <w:vAlign w:val="bottom"/>
            <w:hideMark/>
          </w:tcPr>
          <w:p w14:paraId="505DABE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Variable</w:t>
            </w:r>
          </w:p>
        </w:tc>
        <w:tc>
          <w:tcPr>
            <w:tcW w:w="0" w:type="auto"/>
            <w:tcBorders>
              <w:top w:val="nil"/>
              <w:left w:val="nil"/>
              <w:bottom w:val="nil"/>
              <w:right w:val="nil"/>
            </w:tcBorders>
            <w:shd w:val="clear" w:color="auto" w:fill="auto"/>
            <w:vAlign w:val="bottom"/>
            <w:hideMark/>
          </w:tcPr>
          <w:p w14:paraId="34993AC7"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Mean</w:t>
            </w:r>
          </w:p>
        </w:tc>
        <w:tc>
          <w:tcPr>
            <w:tcW w:w="0" w:type="auto"/>
            <w:tcBorders>
              <w:top w:val="nil"/>
              <w:left w:val="nil"/>
              <w:bottom w:val="nil"/>
              <w:right w:val="nil"/>
            </w:tcBorders>
            <w:shd w:val="clear" w:color="auto" w:fill="auto"/>
            <w:vAlign w:val="bottom"/>
            <w:hideMark/>
          </w:tcPr>
          <w:p w14:paraId="7570A70D"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Std. Dev.</w:t>
            </w:r>
          </w:p>
        </w:tc>
        <w:tc>
          <w:tcPr>
            <w:tcW w:w="0" w:type="auto"/>
            <w:tcBorders>
              <w:top w:val="nil"/>
              <w:left w:val="nil"/>
              <w:bottom w:val="nil"/>
              <w:right w:val="nil"/>
            </w:tcBorders>
            <w:shd w:val="clear" w:color="auto" w:fill="auto"/>
            <w:vAlign w:val="bottom"/>
            <w:hideMark/>
          </w:tcPr>
          <w:p w14:paraId="7DC597DA"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Min</w:t>
            </w:r>
          </w:p>
        </w:tc>
        <w:tc>
          <w:tcPr>
            <w:tcW w:w="0" w:type="auto"/>
            <w:tcBorders>
              <w:top w:val="nil"/>
              <w:left w:val="nil"/>
              <w:bottom w:val="nil"/>
              <w:right w:val="nil"/>
            </w:tcBorders>
            <w:shd w:val="clear" w:color="auto" w:fill="auto"/>
            <w:vAlign w:val="bottom"/>
            <w:hideMark/>
          </w:tcPr>
          <w:p w14:paraId="205F8966"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Max</w:t>
            </w:r>
          </w:p>
        </w:tc>
      </w:tr>
      <w:tr w:rsidR="00782AD4" w:rsidRPr="00782AD4" w14:paraId="3AC772DA" w14:textId="77777777" w:rsidTr="00782AD4">
        <w:tc>
          <w:tcPr>
            <w:tcW w:w="0" w:type="auto"/>
            <w:tcBorders>
              <w:top w:val="nil"/>
              <w:left w:val="nil"/>
              <w:bottom w:val="nil"/>
              <w:right w:val="nil"/>
            </w:tcBorders>
            <w:shd w:val="clear" w:color="auto" w:fill="auto"/>
            <w:vAlign w:val="bottom"/>
            <w:hideMark/>
          </w:tcPr>
          <w:p w14:paraId="462BCC7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BusFlex</w:t>
            </w:r>
          </w:p>
        </w:tc>
        <w:tc>
          <w:tcPr>
            <w:tcW w:w="0" w:type="auto"/>
            <w:tcBorders>
              <w:top w:val="nil"/>
              <w:left w:val="nil"/>
              <w:bottom w:val="nil"/>
              <w:right w:val="nil"/>
            </w:tcBorders>
            <w:shd w:val="clear" w:color="auto" w:fill="auto"/>
            <w:vAlign w:val="bottom"/>
            <w:hideMark/>
          </w:tcPr>
          <w:p w14:paraId="194F7D9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5.73</w:t>
            </w:r>
          </w:p>
        </w:tc>
        <w:tc>
          <w:tcPr>
            <w:tcW w:w="0" w:type="auto"/>
            <w:tcBorders>
              <w:top w:val="nil"/>
              <w:left w:val="nil"/>
              <w:bottom w:val="nil"/>
              <w:right w:val="nil"/>
            </w:tcBorders>
            <w:shd w:val="clear" w:color="auto" w:fill="auto"/>
            <w:vAlign w:val="bottom"/>
            <w:hideMark/>
          </w:tcPr>
          <w:p w14:paraId="199208F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2.09</w:t>
            </w:r>
          </w:p>
        </w:tc>
        <w:tc>
          <w:tcPr>
            <w:tcW w:w="0" w:type="auto"/>
            <w:tcBorders>
              <w:top w:val="nil"/>
              <w:left w:val="nil"/>
              <w:bottom w:val="nil"/>
              <w:right w:val="nil"/>
            </w:tcBorders>
            <w:shd w:val="clear" w:color="auto" w:fill="auto"/>
            <w:vAlign w:val="bottom"/>
            <w:hideMark/>
          </w:tcPr>
          <w:p w14:paraId="126D951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1.93</w:t>
            </w:r>
          </w:p>
        </w:tc>
        <w:tc>
          <w:tcPr>
            <w:tcW w:w="0" w:type="auto"/>
            <w:tcBorders>
              <w:top w:val="nil"/>
              <w:left w:val="nil"/>
              <w:bottom w:val="nil"/>
              <w:right w:val="nil"/>
            </w:tcBorders>
            <w:shd w:val="clear" w:color="auto" w:fill="auto"/>
            <w:vAlign w:val="bottom"/>
            <w:hideMark/>
          </w:tcPr>
          <w:p w14:paraId="10FC514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9.08</w:t>
            </w:r>
          </w:p>
        </w:tc>
      </w:tr>
      <w:tr w:rsidR="00782AD4" w:rsidRPr="00782AD4" w14:paraId="176A2ADF" w14:textId="77777777" w:rsidTr="00782AD4">
        <w:tc>
          <w:tcPr>
            <w:tcW w:w="0" w:type="auto"/>
            <w:tcBorders>
              <w:top w:val="nil"/>
              <w:left w:val="nil"/>
              <w:bottom w:val="nil"/>
              <w:right w:val="nil"/>
            </w:tcBorders>
            <w:shd w:val="clear" w:color="auto" w:fill="auto"/>
            <w:vAlign w:val="bottom"/>
            <w:hideMark/>
          </w:tcPr>
          <w:p w14:paraId="108DEF6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BusResp</w:t>
            </w:r>
          </w:p>
        </w:tc>
        <w:tc>
          <w:tcPr>
            <w:tcW w:w="0" w:type="auto"/>
            <w:tcBorders>
              <w:top w:val="nil"/>
              <w:left w:val="nil"/>
              <w:bottom w:val="nil"/>
              <w:right w:val="nil"/>
            </w:tcBorders>
            <w:shd w:val="clear" w:color="auto" w:fill="auto"/>
            <w:vAlign w:val="bottom"/>
            <w:hideMark/>
          </w:tcPr>
          <w:p w14:paraId="30265D4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5.25</w:t>
            </w:r>
          </w:p>
        </w:tc>
        <w:tc>
          <w:tcPr>
            <w:tcW w:w="0" w:type="auto"/>
            <w:tcBorders>
              <w:top w:val="nil"/>
              <w:left w:val="nil"/>
              <w:bottom w:val="nil"/>
              <w:right w:val="nil"/>
            </w:tcBorders>
            <w:shd w:val="clear" w:color="auto" w:fill="auto"/>
            <w:vAlign w:val="bottom"/>
            <w:hideMark/>
          </w:tcPr>
          <w:p w14:paraId="4AD5F16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2.06</w:t>
            </w:r>
          </w:p>
        </w:tc>
        <w:tc>
          <w:tcPr>
            <w:tcW w:w="0" w:type="auto"/>
            <w:tcBorders>
              <w:top w:val="nil"/>
              <w:left w:val="nil"/>
              <w:bottom w:val="nil"/>
              <w:right w:val="nil"/>
            </w:tcBorders>
            <w:shd w:val="clear" w:color="auto" w:fill="auto"/>
            <w:vAlign w:val="bottom"/>
            <w:hideMark/>
          </w:tcPr>
          <w:p w14:paraId="0C9A7FC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1.41</w:t>
            </w:r>
          </w:p>
        </w:tc>
        <w:tc>
          <w:tcPr>
            <w:tcW w:w="0" w:type="auto"/>
            <w:tcBorders>
              <w:top w:val="nil"/>
              <w:left w:val="nil"/>
              <w:bottom w:val="nil"/>
              <w:right w:val="nil"/>
            </w:tcBorders>
            <w:shd w:val="clear" w:color="auto" w:fill="auto"/>
            <w:vAlign w:val="bottom"/>
            <w:hideMark/>
          </w:tcPr>
          <w:p w14:paraId="1E2548E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8.23</w:t>
            </w:r>
          </w:p>
        </w:tc>
      </w:tr>
      <w:tr w:rsidR="00782AD4" w:rsidRPr="00782AD4" w14:paraId="2861513D" w14:textId="77777777" w:rsidTr="00782AD4">
        <w:tc>
          <w:tcPr>
            <w:tcW w:w="0" w:type="auto"/>
            <w:tcBorders>
              <w:top w:val="nil"/>
              <w:left w:val="nil"/>
              <w:bottom w:val="nil"/>
              <w:right w:val="nil"/>
            </w:tcBorders>
            <w:shd w:val="clear" w:color="auto" w:fill="auto"/>
            <w:vAlign w:val="bottom"/>
            <w:hideMark/>
          </w:tcPr>
          <w:p w14:paraId="5EFB70E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lastRenderedPageBreak/>
              <w:t>BusScal</w:t>
            </w:r>
          </w:p>
        </w:tc>
        <w:tc>
          <w:tcPr>
            <w:tcW w:w="0" w:type="auto"/>
            <w:tcBorders>
              <w:top w:val="nil"/>
              <w:left w:val="nil"/>
              <w:bottom w:val="nil"/>
              <w:right w:val="nil"/>
            </w:tcBorders>
            <w:shd w:val="clear" w:color="auto" w:fill="auto"/>
            <w:vAlign w:val="bottom"/>
            <w:hideMark/>
          </w:tcPr>
          <w:p w14:paraId="6F26F0C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5.43</w:t>
            </w:r>
          </w:p>
        </w:tc>
        <w:tc>
          <w:tcPr>
            <w:tcW w:w="0" w:type="auto"/>
            <w:tcBorders>
              <w:top w:val="nil"/>
              <w:left w:val="nil"/>
              <w:bottom w:val="nil"/>
              <w:right w:val="nil"/>
            </w:tcBorders>
            <w:shd w:val="clear" w:color="auto" w:fill="auto"/>
            <w:vAlign w:val="bottom"/>
            <w:hideMark/>
          </w:tcPr>
          <w:p w14:paraId="43EF2E1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2.12</w:t>
            </w:r>
          </w:p>
        </w:tc>
        <w:tc>
          <w:tcPr>
            <w:tcW w:w="0" w:type="auto"/>
            <w:tcBorders>
              <w:top w:val="nil"/>
              <w:left w:val="nil"/>
              <w:bottom w:val="nil"/>
              <w:right w:val="nil"/>
            </w:tcBorders>
            <w:shd w:val="clear" w:color="auto" w:fill="auto"/>
            <w:vAlign w:val="bottom"/>
            <w:hideMark/>
          </w:tcPr>
          <w:p w14:paraId="49C7627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1.70</w:t>
            </w:r>
          </w:p>
        </w:tc>
        <w:tc>
          <w:tcPr>
            <w:tcW w:w="0" w:type="auto"/>
            <w:tcBorders>
              <w:top w:val="nil"/>
              <w:left w:val="nil"/>
              <w:bottom w:val="nil"/>
              <w:right w:val="nil"/>
            </w:tcBorders>
            <w:shd w:val="clear" w:color="auto" w:fill="auto"/>
            <w:vAlign w:val="bottom"/>
            <w:hideMark/>
          </w:tcPr>
          <w:p w14:paraId="01189D9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8.69</w:t>
            </w:r>
          </w:p>
        </w:tc>
      </w:tr>
      <w:tr w:rsidR="00782AD4" w:rsidRPr="00782AD4" w14:paraId="3D7DD824" w14:textId="77777777" w:rsidTr="00782AD4">
        <w:tc>
          <w:tcPr>
            <w:tcW w:w="0" w:type="auto"/>
            <w:tcBorders>
              <w:top w:val="nil"/>
              <w:left w:val="nil"/>
              <w:bottom w:val="nil"/>
              <w:right w:val="nil"/>
            </w:tcBorders>
            <w:shd w:val="clear" w:color="auto" w:fill="auto"/>
            <w:vAlign w:val="bottom"/>
            <w:hideMark/>
          </w:tcPr>
          <w:p w14:paraId="3876664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FirmPerf</w:t>
            </w:r>
          </w:p>
        </w:tc>
        <w:tc>
          <w:tcPr>
            <w:tcW w:w="0" w:type="auto"/>
            <w:tcBorders>
              <w:top w:val="nil"/>
              <w:left w:val="nil"/>
              <w:bottom w:val="nil"/>
              <w:right w:val="nil"/>
            </w:tcBorders>
            <w:shd w:val="clear" w:color="auto" w:fill="auto"/>
            <w:vAlign w:val="bottom"/>
            <w:hideMark/>
          </w:tcPr>
          <w:p w14:paraId="313EA45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5.12</w:t>
            </w:r>
          </w:p>
        </w:tc>
        <w:tc>
          <w:tcPr>
            <w:tcW w:w="0" w:type="auto"/>
            <w:tcBorders>
              <w:top w:val="nil"/>
              <w:left w:val="nil"/>
              <w:bottom w:val="nil"/>
              <w:right w:val="nil"/>
            </w:tcBorders>
            <w:shd w:val="clear" w:color="auto" w:fill="auto"/>
            <w:vAlign w:val="bottom"/>
            <w:hideMark/>
          </w:tcPr>
          <w:p w14:paraId="4B32BCF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1.87</w:t>
            </w:r>
          </w:p>
        </w:tc>
        <w:tc>
          <w:tcPr>
            <w:tcW w:w="0" w:type="auto"/>
            <w:tcBorders>
              <w:top w:val="nil"/>
              <w:left w:val="nil"/>
              <w:bottom w:val="nil"/>
              <w:right w:val="nil"/>
            </w:tcBorders>
            <w:shd w:val="clear" w:color="auto" w:fill="auto"/>
            <w:vAlign w:val="bottom"/>
            <w:hideMark/>
          </w:tcPr>
          <w:p w14:paraId="748783F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1.18</w:t>
            </w:r>
          </w:p>
        </w:tc>
        <w:tc>
          <w:tcPr>
            <w:tcW w:w="0" w:type="auto"/>
            <w:tcBorders>
              <w:top w:val="nil"/>
              <w:left w:val="nil"/>
              <w:bottom w:val="nil"/>
              <w:right w:val="nil"/>
            </w:tcBorders>
            <w:shd w:val="clear" w:color="auto" w:fill="auto"/>
            <w:vAlign w:val="bottom"/>
            <w:hideMark/>
          </w:tcPr>
          <w:p w14:paraId="0DDEF58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8.23</w:t>
            </w:r>
          </w:p>
        </w:tc>
      </w:tr>
      <w:tr w:rsidR="00782AD4" w:rsidRPr="00782AD4" w14:paraId="6A8A4C0A" w14:textId="77777777" w:rsidTr="00782AD4">
        <w:tc>
          <w:tcPr>
            <w:tcW w:w="0" w:type="auto"/>
            <w:tcBorders>
              <w:top w:val="nil"/>
              <w:left w:val="nil"/>
              <w:bottom w:val="nil"/>
              <w:right w:val="nil"/>
            </w:tcBorders>
            <w:shd w:val="clear" w:color="auto" w:fill="auto"/>
            <w:vAlign w:val="bottom"/>
            <w:hideMark/>
          </w:tcPr>
          <w:p w14:paraId="1FD9BB5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CSPC</w:t>
            </w:r>
          </w:p>
        </w:tc>
        <w:tc>
          <w:tcPr>
            <w:tcW w:w="0" w:type="auto"/>
            <w:tcBorders>
              <w:top w:val="nil"/>
              <w:left w:val="nil"/>
              <w:bottom w:val="nil"/>
              <w:right w:val="nil"/>
            </w:tcBorders>
            <w:shd w:val="clear" w:color="auto" w:fill="auto"/>
            <w:vAlign w:val="bottom"/>
            <w:hideMark/>
          </w:tcPr>
          <w:p w14:paraId="7EF4BF6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4.49</w:t>
            </w:r>
          </w:p>
        </w:tc>
        <w:tc>
          <w:tcPr>
            <w:tcW w:w="0" w:type="auto"/>
            <w:tcBorders>
              <w:top w:val="nil"/>
              <w:left w:val="nil"/>
              <w:bottom w:val="nil"/>
              <w:right w:val="nil"/>
            </w:tcBorders>
            <w:shd w:val="clear" w:color="auto" w:fill="auto"/>
            <w:vAlign w:val="bottom"/>
            <w:hideMark/>
          </w:tcPr>
          <w:p w14:paraId="0E6011F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1.44</w:t>
            </w:r>
          </w:p>
        </w:tc>
        <w:tc>
          <w:tcPr>
            <w:tcW w:w="0" w:type="auto"/>
            <w:tcBorders>
              <w:top w:val="nil"/>
              <w:left w:val="nil"/>
              <w:bottom w:val="nil"/>
              <w:right w:val="nil"/>
            </w:tcBorders>
            <w:shd w:val="clear" w:color="auto" w:fill="auto"/>
            <w:vAlign w:val="bottom"/>
            <w:hideMark/>
          </w:tcPr>
          <w:p w14:paraId="169CE22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1.61</w:t>
            </w:r>
          </w:p>
        </w:tc>
        <w:tc>
          <w:tcPr>
            <w:tcW w:w="0" w:type="auto"/>
            <w:tcBorders>
              <w:top w:val="nil"/>
              <w:left w:val="nil"/>
              <w:bottom w:val="nil"/>
              <w:right w:val="nil"/>
            </w:tcBorders>
            <w:shd w:val="clear" w:color="auto" w:fill="auto"/>
            <w:vAlign w:val="bottom"/>
            <w:hideMark/>
          </w:tcPr>
          <w:p w14:paraId="1B9CD45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6.68</w:t>
            </w:r>
          </w:p>
        </w:tc>
      </w:tr>
      <w:tr w:rsidR="00782AD4" w:rsidRPr="00782AD4" w14:paraId="5F8D8208" w14:textId="77777777" w:rsidTr="00782AD4">
        <w:tc>
          <w:tcPr>
            <w:tcW w:w="0" w:type="auto"/>
            <w:tcBorders>
              <w:top w:val="nil"/>
              <w:left w:val="nil"/>
              <w:bottom w:val="nil"/>
              <w:right w:val="nil"/>
            </w:tcBorders>
            <w:shd w:val="clear" w:color="auto" w:fill="auto"/>
            <w:vAlign w:val="bottom"/>
            <w:hideMark/>
          </w:tcPr>
          <w:p w14:paraId="56941E4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CIC</w:t>
            </w:r>
          </w:p>
        </w:tc>
        <w:tc>
          <w:tcPr>
            <w:tcW w:w="0" w:type="auto"/>
            <w:tcBorders>
              <w:top w:val="nil"/>
              <w:left w:val="nil"/>
              <w:bottom w:val="nil"/>
              <w:right w:val="nil"/>
            </w:tcBorders>
            <w:shd w:val="clear" w:color="auto" w:fill="auto"/>
            <w:vAlign w:val="bottom"/>
            <w:hideMark/>
          </w:tcPr>
          <w:p w14:paraId="0B5B8E2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4.30</w:t>
            </w:r>
          </w:p>
        </w:tc>
        <w:tc>
          <w:tcPr>
            <w:tcW w:w="0" w:type="auto"/>
            <w:tcBorders>
              <w:top w:val="nil"/>
              <w:left w:val="nil"/>
              <w:bottom w:val="nil"/>
              <w:right w:val="nil"/>
            </w:tcBorders>
            <w:shd w:val="clear" w:color="auto" w:fill="auto"/>
            <w:vAlign w:val="bottom"/>
            <w:hideMark/>
          </w:tcPr>
          <w:p w14:paraId="52690C4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1.64</w:t>
            </w:r>
          </w:p>
        </w:tc>
        <w:tc>
          <w:tcPr>
            <w:tcW w:w="0" w:type="auto"/>
            <w:tcBorders>
              <w:top w:val="nil"/>
              <w:left w:val="nil"/>
              <w:bottom w:val="nil"/>
              <w:right w:val="nil"/>
            </w:tcBorders>
            <w:shd w:val="clear" w:color="auto" w:fill="auto"/>
            <w:vAlign w:val="bottom"/>
            <w:hideMark/>
          </w:tcPr>
          <w:p w14:paraId="23094D7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1.26</w:t>
            </w:r>
          </w:p>
        </w:tc>
        <w:tc>
          <w:tcPr>
            <w:tcW w:w="0" w:type="auto"/>
            <w:tcBorders>
              <w:top w:val="nil"/>
              <w:left w:val="nil"/>
              <w:bottom w:val="nil"/>
              <w:right w:val="nil"/>
            </w:tcBorders>
            <w:shd w:val="clear" w:color="auto" w:fill="auto"/>
            <w:vAlign w:val="bottom"/>
            <w:hideMark/>
          </w:tcPr>
          <w:p w14:paraId="36EDE59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6.93</w:t>
            </w:r>
          </w:p>
        </w:tc>
      </w:tr>
      <w:tr w:rsidR="00782AD4" w:rsidRPr="00782AD4" w14:paraId="569216C0" w14:textId="77777777" w:rsidTr="00782AD4">
        <w:tc>
          <w:tcPr>
            <w:tcW w:w="0" w:type="auto"/>
            <w:tcBorders>
              <w:top w:val="nil"/>
              <w:left w:val="nil"/>
              <w:bottom w:val="nil"/>
              <w:right w:val="nil"/>
            </w:tcBorders>
            <w:shd w:val="clear" w:color="auto" w:fill="auto"/>
            <w:vAlign w:val="bottom"/>
            <w:hideMark/>
          </w:tcPr>
          <w:p w14:paraId="52C2653E"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CLCC</w:t>
            </w:r>
          </w:p>
        </w:tc>
        <w:tc>
          <w:tcPr>
            <w:tcW w:w="0" w:type="auto"/>
            <w:tcBorders>
              <w:top w:val="nil"/>
              <w:left w:val="nil"/>
              <w:bottom w:val="nil"/>
              <w:right w:val="nil"/>
            </w:tcBorders>
            <w:shd w:val="clear" w:color="auto" w:fill="auto"/>
            <w:vAlign w:val="bottom"/>
            <w:hideMark/>
          </w:tcPr>
          <w:p w14:paraId="06B2CA6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3.86</w:t>
            </w:r>
          </w:p>
        </w:tc>
        <w:tc>
          <w:tcPr>
            <w:tcW w:w="0" w:type="auto"/>
            <w:tcBorders>
              <w:top w:val="nil"/>
              <w:left w:val="nil"/>
              <w:bottom w:val="nil"/>
              <w:right w:val="nil"/>
            </w:tcBorders>
            <w:shd w:val="clear" w:color="auto" w:fill="auto"/>
            <w:vAlign w:val="bottom"/>
            <w:hideMark/>
          </w:tcPr>
          <w:p w14:paraId="140C755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1.50</w:t>
            </w:r>
          </w:p>
        </w:tc>
        <w:tc>
          <w:tcPr>
            <w:tcW w:w="0" w:type="auto"/>
            <w:tcBorders>
              <w:top w:val="nil"/>
              <w:left w:val="nil"/>
              <w:bottom w:val="nil"/>
              <w:right w:val="nil"/>
            </w:tcBorders>
            <w:shd w:val="clear" w:color="auto" w:fill="auto"/>
            <w:vAlign w:val="bottom"/>
            <w:hideMark/>
          </w:tcPr>
          <w:p w14:paraId="3CFE57D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1.21</w:t>
            </w:r>
          </w:p>
        </w:tc>
        <w:tc>
          <w:tcPr>
            <w:tcW w:w="0" w:type="auto"/>
            <w:tcBorders>
              <w:top w:val="nil"/>
              <w:left w:val="nil"/>
              <w:bottom w:val="nil"/>
              <w:right w:val="nil"/>
            </w:tcBorders>
            <w:shd w:val="clear" w:color="auto" w:fill="auto"/>
            <w:vAlign w:val="bottom"/>
            <w:hideMark/>
          </w:tcPr>
          <w:p w14:paraId="047D50D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6.06</w:t>
            </w:r>
          </w:p>
        </w:tc>
      </w:tr>
      <w:tr w:rsidR="00782AD4" w:rsidRPr="00782AD4" w14:paraId="2B735216" w14:textId="77777777" w:rsidTr="00782AD4">
        <w:tc>
          <w:tcPr>
            <w:tcW w:w="0" w:type="auto"/>
            <w:tcBorders>
              <w:top w:val="nil"/>
              <w:left w:val="nil"/>
              <w:bottom w:val="nil"/>
              <w:right w:val="nil"/>
            </w:tcBorders>
            <w:shd w:val="clear" w:color="auto" w:fill="auto"/>
            <w:vAlign w:val="bottom"/>
            <w:hideMark/>
          </w:tcPr>
          <w:p w14:paraId="3D7F9FC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CMOC</w:t>
            </w:r>
          </w:p>
        </w:tc>
        <w:tc>
          <w:tcPr>
            <w:tcW w:w="0" w:type="auto"/>
            <w:tcBorders>
              <w:top w:val="nil"/>
              <w:left w:val="nil"/>
              <w:bottom w:val="nil"/>
              <w:right w:val="nil"/>
            </w:tcBorders>
            <w:shd w:val="clear" w:color="auto" w:fill="auto"/>
            <w:vAlign w:val="bottom"/>
            <w:hideMark/>
          </w:tcPr>
          <w:p w14:paraId="6420D7C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4.10</w:t>
            </w:r>
          </w:p>
        </w:tc>
        <w:tc>
          <w:tcPr>
            <w:tcW w:w="0" w:type="auto"/>
            <w:tcBorders>
              <w:top w:val="nil"/>
              <w:left w:val="nil"/>
              <w:bottom w:val="nil"/>
              <w:right w:val="nil"/>
            </w:tcBorders>
            <w:shd w:val="clear" w:color="auto" w:fill="auto"/>
            <w:vAlign w:val="bottom"/>
            <w:hideMark/>
          </w:tcPr>
          <w:p w14:paraId="5B02C24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1.41</w:t>
            </w:r>
          </w:p>
        </w:tc>
        <w:tc>
          <w:tcPr>
            <w:tcW w:w="0" w:type="auto"/>
            <w:tcBorders>
              <w:top w:val="nil"/>
              <w:left w:val="nil"/>
              <w:bottom w:val="nil"/>
              <w:right w:val="nil"/>
            </w:tcBorders>
            <w:shd w:val="clear" w:color="auto" w:fill="auto"/>
            <w:vAlign w:val="bottom"/>
            <w:hideMark/>
          </w:tcPr>
          <w:p w14:paraId="13E35D6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1.37</w:t>
            </w:r>
          </w:p>
        </w:tc>
        <w:tc>
          <w:tcPr>
            <w:tcW w:w="0" w:type="auto"/>
            <w:tcBorders>
              <w:top w:val="nil"/>
              <w:left w:val="nil"/>
              <w:bottom w:val="nil"/>
              <w:right w:val="nil"/>
            </w:tcBorders>
            <w:shd w:val="clear" w:color="auto" w:fill="auto"/>
            <w:vAlign w:val="bottom"/>
            <w:hideMark/>
          </w:tcPr>
          <w:p w14:paraId="14841DAE"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6.18</w:t>
            </w:r>
          </w:p>
        </w:tc>
      </w:tr>
      <w:tr w:rsidR="00782AD4" w:rsidRPr="00782AD4" w14:paraId="624DD1CF" w14:textId="77777777" w:rsidTr="00782AD4">
        <w:tc>
          <w:tcPr>
            <w:tcW w:w="0" w:type="auto"/>
            <w:tcBorders>
              <w:top w:val="nil"/>
              <w:left w:val="nil"/>
              <w:bottom w:val="nil"/>
              <w:right w:val="nil"/>
            </w:tcBorders>
            <w:shd w:val="clear" w:color="auto" w:fill="auto"/>
            <w:vAlign w:val="bottom"/>
            <w:hideMark/>
          </w:tcPr>
          <w:p w14:paraId="0220E07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CLSC</w:t>
            </w:r>
          </w:p>
        </w:tc>
        <w:tc>
          <w:tcPr>
            <w:tcW w:w="0" w:type="auto"/>
            <w:tcBorders>
              <w:top w:val="nil"/>
              <w:left w:val="nil"/>
              <w:bottom w:val="nil"/>
              <w:right w:val="nil"/>
            </w:tcBorders>
            <w:shd w:val="clear" w:color="auto" w:fill="auto"/>
            <w:vAlign w:val="bottom"/>
            <w:hideMark/>
          </w:tcPr>
          <w:p w14:paraId="42504A9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4.65</w:t>
            </w:r>
          </w:p>
        </w:tc>
        <w:tc>
          <w:tcPr>
            <w:tcW w:w="0" w:type="auto"/>
            <w:tcBorders>
              <w:top w:val="nil"/>
              <w:left w:val="nil"/>
              <w:bottom w:val="nil"/>
              <w:right w:val="nil"/>
            </w:tcBorders>
            <w:shd w:val="clear" w:color="auto" w:fill="auto"/>
            <w:vAlign w:val="bottom"/>
            <w:hideMark/>
          </w:tcPr>
          <w:p w14:paraId="1D49508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2.10</w:t>
            </w:r>
          </w:p>
        </w:tc>
        <w:tc>
          <w:tcPr>
            <w:tcW w:w="0" w:type="auto"/>
            <w:tcBorders>
              <w:top w:val="nil"/>
              <w:left w:val="nil"/>
              <w:bottom w:val="nil"/>
              <w:right w:val="nil"/>
            </w:tcBorders>
            <w:shd w:val="clear" w:color="auto" w:fill="auto"/>
            <w:vAlign w:val="bottom"/>
            <w:hideMark/>
          </w:tcPr>
          <w:p w14:paraId="20A3303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1.13</w:t>
            </w:r>
          </w:p>
        </w:tc>
        <w:tc>
          <w:tcPr>
            <w:tcW w:w="0" w:type="auto"/>
            <w:tcBorders>
              <w:top w:val="nil"/>
              <w:left w:val="nil"/>
              <w:bottom w:val="nil"/>
              <w:right w:val="nil"/>
            </w:tcBorders>
            <w:shd w:val="clear" w:color="auto" w:fill="auto"/>
            <w:vAlign w:val="bottom"/>
            <w:hideMark/>
          </w:tcPr>
          <w:p w14:paraId="2F7CD03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6.06</w:t>
            </w:r>
          </w:p>
        </w:tc>
      </w:tr>
      <w:tr w:rsidR="00782AD4" w:rsidRPr="00782AD4" w14:paraId="2B213208" w14:textId="77777777" w:rsidTr="00782AD4">
        <w:tc>
          <w:tcPr>
            <w:tcW w:w="0" w:type="auto"/>
            <w:tcBorders>
              <w:top w:val="nil"/>
              <w:left w:val="nil"/>
              <w:bottom w:val="nil"/>
              <w:right w:val="nil"/>
            </w:tcBorders>
            <w:shd w:val="clear" w:color="auto" w:fill="auto"/>
            <w:vAlign w:val="bottom"/>
            <w:hideMark/>
          </w:tcPr>
          <w:p w14:paraId="5E76D2A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CSOC</w:t>
            </w:r>
          </w:p>
        </w:tc>
        <w:tc>
          <w:tcPr>
            <w:tcW w:w="0" w:type="auto"/>
            <w:tcBorders>
              <w:top w:val="nil"/>
              <w:left w:val="nil"/>
              <w:bottom w:val="nil"/>
              <w:right w:val="nil"/>
            </w:tcBorders>
            <w:shd w:val="clear" w:color="auto" w:fill="auto"/>
            <w:vAlign w:val="bottom"/>
            <w:hideMark/>
          </w:tcPr>
          <w:p w14:paraId="0F7B61E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4.00</w:t>
            </w:r>
          </w:p>
        </w:tc>
        <w:tc>
          <w:tcPr>
            <w:tcW w:w="0" w:type="auto"/>
            <w:tcBorders>
              <w:top w:val="nil"/>
              <w:left w:val="nil"/>
              <w:bottom w:val="nil"/>
              <w:right w:val="nil"/>
            </w:tcBorders>
            <w:shd w:val="clear" w:color="auto" w:fill="auto"/>
            <w:vAlign w:val="bottom"/>
            <w:hideMark/>
          </w:tcPr>
          <w:p w14:paraId="0B68891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1.48</w:t>
            </w:r>
          </w:p>
        </w:tc>
        <w:tc>
          <w:tcPr>
            <w:tcW w:w="0" w:type="auto"/>
            <w:tcBorders>
              <w:top w:val="nil"/>
              <w:left w:val="nil"/>
              <w:bottom w:val="nil"/>
              <w:right w:val="nil"/>
            </w:tcBorders>
            <w:shd w:val="clear" w:color="auto" w:fill="auto"/>
            <w:vAlign w:val="bottom"/>
            <w:hideMark/>
          </w:tcPr>
          <w:p w14:paraId="446099A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1.21</w:t>
            </w:r>
          </w:p>
        </w:tc>
        <w:tc>
          <w:tcPr>
            <w:tcW w:w="0" w:type="auto"/>
            <w:tcBorders>
              <w:top w:val="nil"/>
              <w:left w:val="nil"/>
              <w:bottom w:val="nil"/>
              <w:right w:val="nil"/>
            </w:tcBorders>
            <w:shd w:val="clear" w:color="auto" w:fill="auto"/>
            <w:vAlign w:val="bottom"/>
            <w:hideMark/>
          </w:tcPr>
          <w:p w14:paraId="48F2F15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6.07</w:t>
            </w:r>
          </w:p>
        </w:tc>
      </w:tr>
      <w:tr w:rsidR="00782AD4" w:rsidRPr="00782AD4" w14:paraId="522862B7" w14:textId="77777777" w:rsidTr="00782AD4">
        <w:tc>
          <w:tcPr>
            <w:tcW w:w="0" w:type="auto"/>
            <w:tcBorders>
              <w:top w:val="nil"/>
              <w:left w:val="nil"/>
              <w:bottom w:val="nil"/>
              <w:right w:val="nil"/>
            </w:tcBorders>
            <w:shd w:val="clear" w:color="auto" w:fill="auto"/>
            <w:vAlign w:val="bottom"/>
            <w:hideMark/>
          </w:tcPr>
          <w:p w14:paraId="338922D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CTC</w:t>
            </w:r>
          </w:p>
        </w:tc>
        <w:tc>
          <w:tcPr>
            <w:tcW w:w="0" w:type="auto"/>
            <w:tcBorders>
              <w:top w:val="nil"/>
              <w:left w:val="nil"/>
              <w:bottom w:val="nil"/>
              <w:right w:val="nil"/>
            </w:tcBorders>
            <w:shd w:val="clear" w:color="auto" w:fill="auto"/>
            <w:vAlign w:val="bottom"/>
            <w:hideMark/>
          </w:tcPr>
          <w:p w14:paraId="2F09717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5.05</w:t>
            </w:r>
          </w:p>
        </w:tc>
        <w:tc>
          <w:tcPr>
            <w:tcW w:w="0" w:type="auto"/>
            <w:tcBorders>
              <w:top w:val="nil"/>
              <w:left w:val="nil"/>
              <w:bottom w:val="nil"/>
              <w:right w:val="nil"/>
            </w:tcBorders>
            <w:shd w:val="clear" w:color="auto" w:fill="auto"/>
            <w:vAlign w:val="bottom"/>
            <w:hideMark/>
          </w:tcPr>
          <w:p w14:paraId="185284E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2.14</w:t>
            </w:r>
          </w:p>
        </w:tc>
        <w:tc>
          <w:tcPr>
            <w:tcW w:w="0" w:type="auto"/>
            <w:tcBorders>
              <w:top w:val="nil"/>
              <w:left w:val="nil"/>
              <w:bottom w:val="nil"/>
              <w:right w:val="nil"/>
            </w:tcBorders>
            <w:shd w:val="clear" w:color="auto" w:fill="auto"/>
            <w:vAlign w:val="bottom"/>
            <w:hideMark/>
          </w:tcPr>
          <w:p w14:paraId="30C22F6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1.19</w:t>
            </w:r>
          </w:p>
        </w:tc>
        <w:tc>
          <w:tcPr>
            <w:tcW w:w="0" w:type="auto"/>
            <w:tcBorders>
              <w:top w:val="nil"/>
              <w:left w:val="nil"/>
              <w:bottom w:val="nil"/>
              <w:right w:val="nil"/>
            </w:tcBorders>
            <w:shd w:val="clear" w:color="auto" w:fill="auto"/>
            <w:vAlign w:val="bottom"/>
            <w:hideMark/>
          </w:tcPr>
          <w:p w14:paraId="24A1117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8.34</w:t>
            </w:r>
          </w:p>
        </w:tc>
      </w:tr>
      <w:tr w:rsidR="00782AD4" w:rsidRPr="00782AD4" w14:paraId="644CEE87" w14:textId="77777777" w:rsidTr="00782AD4">
        <w:tc>
          <w:tcPr>
            <w:tcW w:w="0" w:type="auto"/>
            <w:gridSpan w:val="5"/>
            <w:tcBorders>
              <w:top w:val="nil"/>
              <w:left w:val="nil"/>
              <w:bottom w:val="nil"/>
              <w:right w:val="nil"/>
            </w:tcBorders>
            <w:shd w:val="clear" w:color="auto" w:fill="auto"/>
            <w:vAlign w:val="bottom"/>
            <w:hideMark/>
          </w:tcPr>
          <w:p w14:paraId="725FE7C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Notes: Obs.: 147 firms, with full responses.</w:t>
            </w:r>
          </w:p>
        </w:tc>
      </w:tr>
    </w:tbl>
    <w:p w14:paraId="76679478"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Comparisons of the means of the key variables between early and late responders, online and in-person respondents, and responders and nonresponders did not reveal any statistical differences; therefore, bias was absent in our data collection. CEOs and CIOs that did not respond to our request for participation indicated a lack of time or adverse company policy regarding surveys.</w:t>
      </w:r>
    </w:p>
    <w:p w14:paraId="7EB7C137"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49" w:anchor="toc" w:tooltip="Partial Least Squares Analysis" w:history="1">
        <w:r w:rsidRPr="00782AD4">
          <w:rPr>
            <w:rFonts w:ascii="Helvetica" w:eastAsia="Times New Roman" w:hAnsi="Helvetica" w:cs="Times New Roman"/>
            <w:b/>
            <w:bCs/>
            <w:color w:val="005BC6"/>
            <w:bdr w:val="none" w:sz="0" w:space="0" w:color="auto" w:frame="1"/>
          </w:rPr>
          <w:t>Partial Least Squares Analysis</w:t>
        </w:r>
      </w:hyperlink>
    </w:p>
    <w:p w14:paraId="6A7C647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used </w:t>
      </w:r>
      <w:r w:rsidRPr="00782AD4">
        <w:rPr>
          <w:rFonts w:ascii="Helvetica" w:eastAsia="Times New Roman" w:hAnsi="Helvetica" w:cs="Times New Roman"/>
          <w:i/>
          <w:iCs/>
          <w:color w:val="333333"/>
          <w:bdr w:val="none" w:sz="0" w:space="0" w:color="auto" w:frame="1"/>
        </w:rPr>
        <w:t>partial least squares</w:t>
      </w:r>
      <w:r w:rsidRPr="00782AD4">
        <w:rPr>
          <w:rFonts w:ascii="Helvetica" w:eastAsia="Times New Roman" w:hAnsi="Helvetica" w:cs="Times New Roman"/>
          <w:color w:val="333333"/>
        </w:rPr>
        <w:t> (PLS), a </w:t>
      </w:r>
      <w:r w:rsidRPr="00782AD4">
        <w:rPr>
          <w:rFonts w:ascii="Helvetica" w:eastAsia="Times New Roman" w:hAnsi="Helvetica" w:cs="Times New Roman"/>
          <w:i/>
          <w:iCs/>
          <w:color w:val="333333"/>
          <w:bdr w:val="none" w:sz="0" w:space="0" w:color="auto" w:frame="1"/>
        </w:rPr>
        <w:t>structural equation modeling</w:t>
      </w:r>
      <w:r w:rsidRPr="00782AD4">
        <w:rPr>
          <w:rFonts w:ascii="Helvetica" w:eastAsia="Times New Roman" w:hAnsi="Helvetica" w:cs="Times New Roman"/>
          <w:color w:val="333333"/>
        </w:rPr>
        <w:t> (SEM) technique, to validate our model. It estimates interrelated dependence relationships and handles second-order formative constructs better than covariance-based SEM. It assesses a measurement model for the theoretical model and makes no assumptions regarding data normality. Although PLS is recognized for handling small samples, recent research asserts requirements for an adequate sample size. We must "multiply 10 times the scale with the largest number of formative (e.g., causal) indicators, or multiply 10 times the largest number of structural paths directed at a particular construct in the structural model" [51, p. 132]. Our model has 11 constructs and at most 4 structural paths directed at any construct; therefore, a sample size of 110 is sufficient. Also, the </w:t>
      </w:r>
      <w:r w:rsidRPr="00782AD4">
        <w:rPr>
          <w:rFonts w:ascii="Helvetica" w:eastAsia="Times New Roman" w:hAnsi="Helvetica" w:cs="Times New Roman"/>
          <w:i/>
          <w:iCs/>
          <w:color w:val="333333"/>
          <w:bdr w:val="none" w:sz="0" w:space="0" w:color="auto" w:frame="1"/>
        </w:rPr>
        <w:t>power analysis rule</w:t>
      </w:r>
      <w:r w:rsidRPr="00782AD4">
        <w:rPr>
          <w:rFonts w:ascii="Helvetica" w:eastAsia="Times New Roman" w:hAnsi="Helvetica" w:cs="Times New Roman"/>
          <w:color w:val="333333"/>
        </w:rPr>
        <w:t> suggests that, for a model with 5 independent variables, a sample size of 122 is needed to achieve statistical power of 80 percent for detecting a </w:t>
      </w:r>
      <w:r w:rsidRPr="00782AD4">
        <w:rPr>
          <w:rFonts w:ascii="Helvetica" w:eastAsia="Times New Roman" w:hAnsi="Helvetica" w:cs="Times New Roman"/>
          <w:i/>
          <w:iCs/>
          <w:color w:val="333333"/>
          <w:bdr w:val="none" w:sz="0" w:space="0" w:color="auto" w:frame="1"/>
        </w:rPr>
        <w:t>R</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of 10 percent with a 5 percent probability of error.</w:t>
      </w:r>
    </w:p>
    <w:p w14:paraId="41275BC9"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50" w:anchor="toc" w:tooltip="Empirical Analysis and Results" w:history="1">
        <w:r w:rsidRPr="00782AD4">
          <w:rPr>
            <w:rFonts w:ascii="Helvetica" w:eastAsia="Times New Roman" w:hAnsi="Helvetica" w:cs="Times New Roman"/>
            <w:b/>
            <w:bCs/>
            <w:color w:val="005BC6"/>
            <w:bdr w:val="none" w:sz="0" w:space="0" w:color="auto" w:frame="1"/>
          </w:rPr>
          <w:t>Empirical Analysis and Results</w:t>
        </w:r>
      </w:hyperlink>
    </w:p>
    <w:p w14:paraId="1DF9021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methods roadmap is in Appendix Figure A1. We begin with an assessment of the measurement model and its factors, followed by a structural model assessment. Our path analysis and mediation results offer evidence for a path for firms to follow for extracting strategic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w:t>
      </w:r>
    </w:p>
    <w:p w14:paraId="74D1FE8D"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51" w:anchor="toc" w:tooltip="Measurement Model Assessment" w:history="1">
        <w:r w:rsidRPr="00782AD4">
          <w:rPr>
            <w:rFonts w:ascii="Helvetica" w:eastAsia="Times New Roman" w:hAnsi="Helvetica" w:cs="Times New Roman"/>
            <w:b/>
            <w:bCs/>
            <w:color w:val="005BC6"/>
            <w:bdr w:val="none" w:sz="0" w:space="0" w:color="auto" w:frame="1"/>
          </w:rPr>
          <w:t>Measurement Model Assessment</w:t>
        </w:r>
      </w:hyperlink>
    </w:p>
    <w:p w14:paraId="371F4B0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Since our model consists of a mix of formative and reflective constructs, as shown in our methods roadmap, we adopted a three-step approach to determine measure adequacy. We conducted a principal components analysis with Varimax rotation, which generated the expected number of factors, with high loadings (above 0.70) and low cross-loadings (below 0.30). Six items with low loadings were dropped.</w:t>
      </w:r>
    </w:p>
    <w:p w14:paraId="468E234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assessed the reflective constructs </w:t>
      </w:r>
      <w:r w:rsidRPr="00782AD4">
        <w:rPr>
          <w:rFonts w:ascii="Helvetica" w:eastAsia="Times New Roman" w:hAnsi="Helvetica" w:cs="Times New Roman"/>
          <w:i/>
          <w:iCs/>
          <w:color w:val="333333"/>
          <w:bdr w:val="none" w:sz="0" w:space="0" w:color="auto" w:frame="1"/>
        </w:rPr>
        <w:t>FirmPerf, BusFlex, BusResp</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BusScal</w:t>
      </w:r>
      <w:r w:rsidRPr="00782AD4">
        <w:rPr>
          <w:rFonts w:ascii="Helvetica" w:eastAsia="Times New Roman" w:hAnsi="Helvetica" w:cs="Times New Roman"/>
          <w:color w:val="333333"/>
        </w:rPr>
        <w:t> next. Internal consistency reliability is evaluated via the composite reliability scores, which were satisfactory at 0.92, 0.90, 0.93, and 0.93 (Table 3). We ran confirmatory factor analysis too: all variables exhibited sufficiently high reliability, with Cronbach's </w:t>
      </w:r>
      <w:r w:rsidRPr="00782AD4">
        <w:rPr>
          <w:rFonts w:ascii="Helvetica" w:eastAsia="Times New Roman" w:hAnsi="Helvetica" w:cs="Times New Roman"/>
          <w:i/>
          <w:iCs/>
          <w:color w:val="333333"/>
          <w:bdr w:val="none" w:sz="0" w:space="0" w:color="auto" w:frame="1"/>
        </w:rPr>
        <w:t>α</w:t>
      </w:r>
      <w:r w:rsidRPr="00782AD4">
        <w:rPr>
          <w:rFonts w:ascii="Helvetica" w:eastAsia="Times New Roman" w:hAnsi="Helvetica" w:cs="Times New Roman"/>
          <w:color w:val="333333"/>
        </w:rPr>
        <w:t xml:space="preserve"> always </w:t>
      </w:r>
      <w:r w:rsidRPr="00782AD4">
        <w:rPr>
          <w:rFonts w:ascii="Helvetica" w:eastAsia="Times New Roman" w:hAnsi="Helvetica" w:cs="Times New Roman"/>
          <w:color w:val="333333"/>
        </w:rPr>
        <w:lastRenderedPageBreak/>
        <w:t>above the minimum recommended. We then assessed convergent validity based on outer loadings and </w:t>
      </w:r>
      <w:r w:rsidRPr="00782AD4">
        <w:rPr>
          <w:rFonts w:ascii="Helvetica" w:eastAsia="Times New Roman" w:hAnsi="Helvetica" w:cs="Times New Roman"/>
          <w:i/>
          <w:iCs/>
          <w:color w:val="333333"/>
          <w:bdr w:val="none" w:sz="0" w:space="0" w:color="auto" w:frame="1"/>
        </w:rPr>
        <w:t>average variances extracted</w:t>
      </w:r>
      <w:r w:rsidRPr="00782AD4">
        <w:rPr>
          <w:rFonts w:ascii="Helvetica" w:eastAsia="Times New Roman" w:hAnsi="Helvetica" w:cs="Times New Roman"/>
          <w:color w:val="333333"/>
        </w:rPr>
        <w:t> (AVEs). Loadings of all retained indicators on their related theoretical constructs were significant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and exceeded the recommended 0.70 threshold in the measurement model (Appendix Table A3). All AVEs were greater than 0.50 and higher than the highest shared variance between all possible pairs of constructs for each construct.</w:t>
      </w:r>
    </w:p>
    <w:p w14:paraId="55EC75E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Measurement Model Assessment for Reflective Constructs</w:t>
      </w:r>
    </w:p>
    <w:tbl>
      <w:tblPr>
        <w:tblW w:w="0" w:type="auto"/>
        <w:tblCellMar>
          <w:left w:w="0" w:type="dxa"/>
          <w:right w:w="0" w:type="dxa"/>
        </w:tblCellMar>
        <w:tblLook w:val="04A0" w:firstRow="1" w:lastRow="0" w:firstColumn="1" w:lastColumn="0" w:noHBand="0" w:noVBand="1"/>
      </w:tblPr>
      <w:tblGrid>
        <w:gridCol w:w="1148"/>
        <w:gridCol w:w="1821"/>
        <w:gridCol w:w="481"/>
        <w:gridCol w:w="2175"/>
      </w:tblGrid>
      <w:tr w:rsidR="00782AD4" w:rsidRPr="00782AD4" w14:paraId="1BB94A7E" w14:textId="77777777" w:rsidTr="00782AD4">
        <w:tc>
          <w:tcPr>
            <w:tcW w:w="0" w:type="auto"/>
            <w:tcBorders>
              <w:top w:val="nil"/>
              <w:left w:val="nil"/>
              <w:bottom w:val="nil"/>
              <w:right w:val="nil"/>
            </w:tcBorders>
            <w:shd w:val="clear" w:color="auto" w:fill="auto"/>
            <w:vAlign w:val="bottom"/>
            <w:hideMark/>
          </w:tcPr>
          <w:p w14:paraId="6B73ABE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Constructs</w:t>
            </w:r>
          </w:p>
        </w:tc>
        <w:tc>
          <w:tcPr>
            <w:tcW w:w="0" w:type="auto"/>
            <w:tcBorders>
              <w:top w:val="nil"/>
              <w:left w:val="nil"/>
              <w:bottom w:val="nil"/>
              <w:right w:val="nil"/>
            </w:tcBorders>
            <w:shd w:val="clear" w:color="auto" w:fill="auto"/>
            <w:vAlign w:val="bottom"/>
            <w:hideMark/>
          </w:tcPr>
          <w:p w14:paraId="4F95C0D6"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Cronbach'sAlpha</w:t>
            </w:r>
          </w:p>
        </w:tc>
        <w:tc>
          <w:tcPr>
            <w:tcW w:w="0" w:type="auto"/>
            <w:tcBorders>
              <w:top w:val="nil"/>
              <w:left w:val="nil"/>
              <w:bottom w:val="nil"/>
              <w:right w:val="nil"/>
            </w:tcBorders>
            <w:shd w:val="clear" w:color="auto" w:fill="auto"/>
            <w:vAlign w:val="bottom"/>
            <w:hideMark/>
          </w:tcPr>
          <w:p w14:paraId="3F13B360"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AVE</w:t>
            </w:r>
          </w:p>
        </w:tc>
        <w:tc>
          <w:tcPr>
            <w:tcW w:w="0" w:type="auto"/>
            <w:tcBorders>
              <w:top w:val="nil"/>
              <w:left w:val="nil"/>
              <w:bottom w:val="nil"/>
              <w:right w:val="nil"/>
            </w:tcBorders>
            <w:shd w:val="clear" w:color="auto" w:fill="auto"/>
            <w:vAlign w:val="bottom"/>
            <w:hideMark/>
          </w:tcPr>
          <w:p w14:paraId="71D53759"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CompositeReliability</w:t>
            </w:r>
          </w:p>
        </w:tc>
      </w:tr>
      <w:tr w:rsidR="00782AD4" w:rsidRPr="00782AD4" w14:paraId="450232DF" w14:textId="77777777" w:rsidTr="00782AD4">
        <w:tc>
          <w:tcPr>
            <w:tcW w:w="0" w:type="auto"/>
            <w:tcBorders>
              <w:top w:val="nil"/>
              <w:left w:val="nil"/>
              <w:bottom w:val="nil"/>
              <w:right w:val="nil"/>
            </w:tcBorders>
            <w:shd w:val="clear" w:color="auto" w:fill="auto"/>
            <w:vAlign w:val="bottom"/>
            <w:hideMark/>
          </w:tcPr>
          <w:p w14:paraId="2E6B92A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FirmPerf</w:t>
            </w:r>
          </w:p>
        </w:tc>
        <w:tc>
          <w:tcPr>
            <w:tcW w:w="0" w:type="auto"/>
            <w:tcBorders>
              <w:top w:val="nil"/>
              <w:left w:val="nil"/>
              <w:bottom w:val="nil"/>
              <w:right w:val="nil"/>
            </w:tcBorders>
            <w:shd w:val="clear" w:color="auto" w:fill="auto"/>
            <w:vAlign w:val="bottom"/>
            <w:hideMark/>
          </w:tcPr>
          <w:p w14:paraId="6FE6B49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0.92</w:t>
            </w:r>
          </w:p>
        </w:tc>
        <w:tc>
          <w:tcPr>
            <w:tcW w:w="0" w:type="auto"/>
            <w:tcBorders>
              <w:top w:val="nil"/>
              <w:left w:val="nil"/>
              <w:bottom w:val="nil"/>
              <w:right w:val="nil"/>
            </w:tcBorders>
            <w:shd w:val="clear" w:color="auto" w:fill="auto"/>
            <w:vAlign w:val="bottom"/>
            <w:hideMark/>
          </w:tcPr>
          <w:p w14:paraId="00AAD21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0.72</w:t>
            </w:r>
          </w:p>
        </w:tc>
        <w:tc>
          <w:tcPr>
            <w:tcW w:w="0" w:type="auto"/>
            <w:tcBorders>
              <w:top w:val="nil"/>
              <w:left w:val="nil"/>
              <w:bottom w:val="nil"/>
              <w:right w:val="nil"/>
            </w:tcBorders>
            <w:shd w:val="clear" w:color="auto" w:fill="auto"/>
            <w:vAlign w:val="bottom"/>
            <w:hideMark/>
          </w:tcPr>
          <w:p w14:paraId="344B3A2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0.92</w:t>
            </w:r>
          </w:p>
        </w:tc>
      </w:tr>
      <w:tr w:rsidR="00782AD4" w:rsidRPr="00782AD4" w14:paraId="73BAB75C" w14:textId="77777777" w:rsidTr="00782AD4">
        <w:tc>
          <w:tcPr>
            <w:tcW w:w="0" w:type="auto"/>
            <w:tcBorders>
              <w:top w:val="nil"/>
              <w:left w:val="nil"/>
              <w:bottom w:val="nil"/>
              <w:right w:val="nil"/>
            </w:tcBorders>
            <w:shd w:val="clear" w:color="auto" w:fill="auto"/>
            <w:vAlign w:val="bottom"/>
            <w:hideMark/>
          </w:tcPr>
          <w:p w14:paraId="0066786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BusFlex</w:t>
            </w:r>
          </w:p>
        </w:tc>
        <w:tc>
          <w:tcPr>
            <w:tcW w:w="0" w:type="auto"/>
            <w:tcBorders>
              <w:top w:val="nil"/>
              <w:left w:val="nil"/>
              <w:bottom w:val="nil"/>
              <w:right w:val="nil"/>
            </w:tcBorders>
            <w:shd w:val="clear" w:color="auto" w:fill="auto"/>
            <w:vAlign w:val="bottom"/>
            <w:hideMark/>
          </w:tcPr>
          <w:p w14:paraId="7625F26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0.92</w:t>
            </w:r>
          </w:p>
        </w:tc>
        <w:tc>
          <w:tcPr>
            <w:tcW w:w="0" w:type="auto"/>
            <w:tcBorders>
              <w:top w:val="nil"/>
              <w:left w:val="nil"/>
              <w:bottom w:val="nil"/>
              <w:right w:val="nil"/>
            </w:tcBorders>
            <w:shd w:val="clear" w:color="auto" w:fill="auto"/>
            <w:vAlign w:val="bottom"/>
            <w:hideMark/>
          </w:tcPr>
          <w:p w14:paraId="28D1B50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0.78</w:t>
            </w:r>
          </w:p>
        </w:tc>
        <w:tc>
          <w:tcPr>
            <w:tcW w:w="0" w:type="auto"/>
            <w:tcBorders>
              <w:top w:val="nil"/>
              <w:left w:val="nil"/>
              <w:bottom w:val="nil"/>
              <w:right w:val="nil"/>
            </w:tcBorders>
            <w:shd w:val="clear" w:color="auto" w:fill="auto"/>
            <w:vAlign w:val="bottom"/>
            <w:hideMark/>
          </w:tcPr>
          <w:p w14:paraId="101AEB1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0.93</w:t>
            </w:r>
          </w:p>
        </w:tc>
      </w:tr>
      <w:tr w:rsidR="00782AD4" w:rsidRPr="00782AD4" w14:paraId="18E9DCA7" w14:textId="77777777" w:rsidTr="00782AD4">
        <w:tc>
          <w:tcPr>
            <w:tcW w:w="0" w:type="auto"/>
            <w:tcBorders>
              <w:top w:val="nil"/>
              <w:left w:val="nil"/>
              <w:bottom w:val="nil"/>
              <w:right w:val="nil"/>
            </w:tcBorders>
            <w:shd w:val="clear" w:color="auto" w:fill="auto"/>
            <w:vAlign w:val="bottom"/>
            <w:hideMark/>
          </w:tcPr>
          <w:p w14:paraId="5D193FF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BusResp</w:t>
            </w:r>
          </w:p>
        </w:tc>
        <w:tc>
          <w:tcPr>
            <w:tcW w:w="0" w:type="auto"/>
            <w:tcBorders>
              <w:top w:val="nil"/>
              <w:left w:val="nil"/>
              <w:bottom w:val="nil"/>
              <w:right w:val="nil"/>
            </w:tcBorders>
            <w:shd w:val="clear" w:color="auto" w:fill="auto"/>
            <w:vAlign w:val="bottom"/>
            <w:hideMark/>
          </w:tcPr>
          <w:p w14:paraId="2CB847E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0.90</w:t>
            </w:r>
          </w:p>
        </w:tc>
        <w:tc>
          <w:tcPr>
            <w:tcW w:w="0" w:type="auto"/>
            <w:tcBorders>
              <w:top w:val="nil"/>
              <w:left w:val="nil"/>
              <w:bottom w:val="nil"/>
              <w:right w:val="nil"/>
            </w:tcBorders>
            <w:shd w:val="clear" w:color="auto" w:fill="auto"/>
            <w:vAlign w:val="bottom"/>
            <w:hideMark/>
          </w:tcPr>
          <w:p w14:paraId="34AAC92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0.72</w:t>
            </w:r>
          </w:p>
        </w:tc>
        <w:tc>
          <w:tcPr>
            <w:tcW w:w="0" w:type="auto"/>
            <w:tcBorders>
              <w:top w:val="nil"/>
              <w:left w:val="nil"/>
              <w:bottom w:val="nil"/>
              <w:right w:val="nil"/>
            </w:tcBorders>
            <w:shd w:val="clear" w:color="auto" w:fill="auto"/>
            <w:vAlign w:val="bottom"/>
            <w:hideMark/>
          </w:tcPr>
          <w:p w14:paraId="16F3900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0.93</w:t>
            </w:r>
          </w:p>
        </w:tc>
      </w:tr>
      <w:tr w:rsidR="00782AD4" w:rsidRPr="00782AD4" w14:paraId="183816FF" w14:textId="77777777" w:rsidTr="00782AD4">
        <w:tc>
          <w:tcPr>
            <w:tcW w:w="0" w:type="auto"/>
            <w:tcBorders>
              <w:top w:val="nil"/>
              <w:left w:val="nil"/>
              <w:bottom w:val="nil"/>
              <w:right w:val="nil"/>
            </w:tcBorders>
            <w:shd w:val="clear" w:color="auto" w:fill="auto"/>
            <w:vAlign w:val="bottom"/>
            <w:hideMark/>
          </w:tcPr>
          <w:p w14:paraId="5EC2A04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BusScal</w:t>
            </w:r>
          </w:p>
        </w:tc>
        <w:tc>
          <w:tcPr>
            <w:tcW w:w="0" w:type="auto"/>
            <w:tcBorders>
              <w:top w:val="nil"/>
              <w:left w:val="nil"/>
              <w:bottom w:val="nil"/>
              <w:right w:val="nil"/>
            </w:tcBorders>
            <w:shd w:val="clear" w:color="auto" w:fill="auto"/>
            <w:vAlign w:val="bottom"/>
            <w:hideMark/>
          </w:tcPr>
          <w:p w14:paraId="6B8C753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0.86</w:t>
            </w:r>
          </w:p>
        </w:tc>
        <w:tc>
          <w:tcPr>
            <w:tcW w:w="0" w:type="auto"/>
            <w:tcBorders>
              <w:top w:val="nil"/>
              <w:left w:val="nil"/>
              <w:bottom w:val="nil"/>
              <w:right w:val="nil"/>
            </w:tcBorders>
            <w:shd w:val="clear" w:color="auto" w:fill="auto"/>
            <w:vAlign w:val="bottom"/>
            <w:hideMark/>
          </w:tcPr>
          <w:p w14:paraId="06790D7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0.65</w:t>
            </w:r>
          </w:p>
        </w:tc>
        <w:tc>
          <w:tcPr>
            <w:tcW w:w="0" w:type="auto"/>
            <w:tcBorders>
              <w:top w:val="nil"/>
              <w:left w:val="nil"/>
              <w:bottom w:val="nil"/>
              <w:right w:val="nil"/>
            </w:tcBorders>
            <w:shd w:val="clear" w:color="auto" w:fill="auto"/>
            <w:vAlign w:val="bottom"/>
            <w:hideMark/>
          </w:tcPr>
          <w:p w14:paraId="6D05F29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0.90</w:t>
            </w:r>
          </w:p>
        </w:tc>
      </w:tr>
    </w:tbl>
    <w:p w14:paraId="3AD6F89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Finally, we assessed discriminant validity via cross-loading analysis and the </w:t>
      </w:r>
      <w:r w:rsidRPr="00782AD4">
        <w:rPr>
          <w:rFonts w:ascii="Helvetica" w:eastAsia="Times New Roman" w:hAnsi="Helvetica" w:cs="Times New Roman"/>
          <w:i/>
          <w:iCs/>
          <w:color w:val="333333"/>
          <w:bdr w:val="none" w:sz="0" w:space="0" w:color="auto" w:frame="1"/>
        </w:rPr>
        <w:t>heterotrait-monotrait ratio</w:t>
      </w:r>
      <w:r w:rsidRPr="00782AD4">
        <w:rPr>
          <w:rFonts w:ascii="Helvetica" w:eastAsia="Times New Roman" w:hAnsi="Helvetica" w:cs="Times New Roman"/>
          <w:color w:val="333333"/>
        </w:rPr>
        <w:t>. Outer loadings of the indicators on the associated construct always exceeded the cross-loadings on other constructs. Furthermore, since the path model constructs are conceptually similar, the </w:t>
      </w:r>
      <w:r w:rsidRPr="00782AD4">
        <w:rPr>
          <w:rFonts w:ascii="Helvetica" w:eastAsia="Times New Roman" w:hAnsi="Helvetica" w:cs="Times New Roman"/>
          <w:i/>
          <w:iCs/>
          <w:color w:val="333333"/>
          <w:bdr w:val="none" w:sz="0" w:space="0" w:color="auto" w:frame="1"/>
        </w:rPr>
        <w:t>heterotrait-monotrait ratio's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should be below 0.90 for inferring discriminant validity. The ratios for all constructs are below the conservative threshold of 0.85 for conceptually distinct constructs [32].</w:t>
      </w:r>
    </w:p>
    <w:p w14:paraId="640BD5C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Third, we assessed the formative constructs using different criteria; evaluations of reflective constructs do not apply to formative constructs [64]. We assessed convergent and discriminant validity by evaluating the weight, sign, and magnitude of items for the formative constructs rather than item loadings [15, 42]. The weightings of retained indicators on their related theoretical constructs were significant at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the signs of the item weight were consistent with the underlying theory, and magnitude of the item weights were greater than 0.10. Also, for each formative construct, the average weight for the formative items was less than the ceiling of , with </w:t>
      </w:r>
      <w:r w:rsidRPr="00782AD4">
        <w:rPr>
          <w:rFonts w:ascii="Helvetica" w:eastAsia="Times New Roman" w:hAnsi="Helvetica" w:cs="Times New Roman"/>
          <w:i/>
          <w:iCs/>
          <w:color w:val="333333"/>
          <w:bdr w:val="none" w:sz="0" w:space="0" w:color="auto" w:frame="1"/>
        </w:rPr>
        <w:t>N</w:t>
      </w:r>
      <w:r w:rsidRPr="00782AD4">
        <w:rPr>
          <w:rFonts w:ascii="Helvetica" w:eastAsia="Times New Roman" w:hAnsi="Helvetica" w:cs="Times New Roman"/>
          <w:color w:val="333333"/>
        </w:rPr>
        <w:t> as the number of orthogonal formative items specified. One indicator was not significant and another had a high weight; however, in line with the guidelines, they were retained to preserve content validity and ensure that the constructs measured the entire domain (details in online supplement) [64]. We also performed redundancy analysis by comparing the correlations of formative constructs with global items that summarize the constructs [31]. The path coefficients all were above the suggested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of 0.70. And the </w:t>
      </w:r>
      <w:r w:rsidRPr="00782AD4">
        <w:rPr>
          <w:rFonts w:ascii="Helvetica" w:eastAsia="Times New Roman" w:hAnsi="Helvetica" w:cs="Times New Roman"/>
          <w:i/>
          <w:iCs/>
          <w:color w:val="333333"/>
          <w:bdr w:val="none" w:sz="0" w:space="0" w:color="auto" w:frame="1"/>
        </w:rPr>
        <w:t>variance inflation factors</w:t>
      </w:r>
      <w:r w:rsidRPr="00782AD4">
        <w:rPr>
          <w:rFonts w:ascii="Helvetica" w:eastAsia="Times New Roman" w:hAnsi="Helvetica" w:cs="Times New Roman"/>
          <w:color w:val="333333"/>
        </w:rPr>
        <w:t> were less than the 3.3 threshold; therefore, multicollinearity is not a concern at the item level [64]. The model provided satisfactory fit across all indices, and the measures had adequate validity, reliability, and discriminant validity.</w:t>
      </w:r>
    </w:p>
    <w:p w14:paraId="3514349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assessed the construct validity of the second-order formative constructs, and the reliabilities of both constructs were adequate. We also found that the ﬁrst-order indicators reliably measured the second-order constructs. For this, we tested for a statistically-signiﬁcant path coefﬁcient between the ﬁrst-order dimensions of each second-order construct, which represent the weights of the formative constructs.</w:t>
      </w:r>
    </w:p>
    <w:p w14:paraId="633258C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Figure 2 shows that there are significant path coefficients between the first-order constructs [24]. They include: between </w:t>
      </w:r>
      <w:r w:rsidRPr="00782AD4">
        <w:rPr>
          <w:rFonts w:ascii="Helvetica" w:eastAsia="Times New Roman" w:hAnsi="Helvetica" w:cs="Times New Roman"/>
          <w:i/>
          <w:iCs/>
          <w:color w:val="333333"/>
          <w:bdr w:val="none" w:sz="0" w:space="0" w:color="auto" w:frame="1"/>
        </w:rPr>
        <w:t>CSOC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0.39,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 5.78,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w:t>
      </w:r>
      <w:r w:rsidRPr="00782AD4">
        <w:rPr>
          <w:rFonts w:ascii="Helvetica" w:eastAsia="Times New Roman" w:hAnsi="Helvetica" w:cs="Times New Roman"/>
          <w:i/>
          <w:iCs/>
          <w:color w:val="333333"/>
          <w:bdr w:val="none" w:sz="0" w:space="0" w:color="auto" w:frame="1"/>
        </w:rPr>
        <w:t>CMOC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0.70,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 11.76,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and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and between </w:t>
      </w:r>
      <w:r w:rsidRPr="00782AD4">
        <w:rPr>
          <w:rFonts w:ascii="Helvetica" w:eastAsia="Times New Roman" w:hAnsi="Helvetica" w:cs="Times New Roman"/>
          <w:i/>
          <w:iCs/>
          <w:color w:val="333333"/>
          <w:bdr w:val="none" w:sz="0" w:space="0" w:color="auto" w:frame="1"/>
        </w:rPr>
        <w:t>CLSC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0.27,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 3.13,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w:t>
      </w:r>
      <w:r w:rsidRPr="00782AD4">
        <w:rPr>
          <w:rFonts w:ascii="Helvetica" w:eastAsia="Times New Roman" w:hAnsi="Helvetica" w:cs="Times New Roman"/>
          <w:i/>
          <w:iCs/>
          <w:color w:val="333333"/>
          <w:bdr w:val="none" w:sz="0" w:space="0" w:color="auto" w:frame="1"/>
        </w:rPr>
        <w:t>CLCC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0.78,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 10.00,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and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xml:space="preserve">. Further appropriateness of a </w:t>
      </w:r>
      <w:r w:rsidRPr="00782AD4">
        <w:rPr>
          <w:rFonts w:ascii="Helvetica" w:eastAsia="Times New Roman" w:hAnsi="Helvetica" w:cs="Times New Roman"/>
          <w:color w:val="333333"/>
        </w:rPr>
        <w:lastRenderedPageBreak/>
        <w:t>formative model is shown by the significant, but not high correlations among ﬁrst-order constructs. An alteration in any first-order dimension does not cause a change in the other dimensions; so a reflective model seems unlikely. Thus, we conclude that the proposed second-order formative constructs were supported. Altogether, these validate the measurement model's psychometric adequacy.</w:t>
      </w:r>
    </w:p>
    <w:p w14:paraId="1D848E8E"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52" w:anchor="toc" w:tooltip="Structural Model Assessment" w:history="1">
        <w:r w:rsidRPr="00782AD4">
          <w:rPr>
            <w:rFonts w:ascii="Helvetica" w:eastAsia="Times New Roman" w:hAnsi="Helvetica" w:cs="Times New Roman"/>
            <w:b/>
            <w:bCs/>
            <w:color w:val="005BC6"/>
            <w:bdr w:val="none" w:sz="0" w:space="0" w:color="auto" w:frame="1"/>
          </w:rPr>
          <w:t>Structural Model Assessment</w:t>
        </w:r>
      </w:hyperlink>
    </w:p>
    <w:p w14:paraId="015DA34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Moving on in the methods roadmap (Appendix Figure A1), we assessed the hypothesized PLS structural model and applied a </w:t>
      </w:r>
      <w:r w:rsidRPr="00782AD4">
        <w:rPr>
          <w:rFonts w:ascii="Helvetica" w:eastAsia="Times New Roman" w:hAnsi="Helvetica" w:cs="Times New Roman"/>
          <w:i/>
          <w:iCs/>
          <w:color w:val="333333"/>
          <w:bdr w:val="none" w:sz="0" w:space="0" w:color="auto" w:frame="1"/>
        </w:rPr>
        <w:t>bias-corrected and accelerated bootstrapping</w:t>
      </w:r>
      <w:r w:rsidRPr="00782AD4">
        <w:rPr>
          <w:rFonts w:ascii="Helvetica" w:eastAsia="Times New Roman" w:hAnsi="Helvetica" w:cs="Times New Roman"/>
          <w:color w:val="333333"/>
        </w:rPr>
        <w:t> procedure with replacement using 5,000 subsamples. This enabled us to calculate the statistical significance of the parameter estimates. It relaxes the normality assumption for the individual variables' data distributions and is used for models that include mediation [25]. In PLS, the structural model specifies the relationship between the theoretical constructs. Our hypotheses were tested using a one-tailed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-test for </w:t>
      </w:r>
      <w:r w:rsidRPr="00782AD4">
        <w:rPr>
          <w:rFonts w:ascii="Helvetica" w:eastAsia="Times New Roman" w:hAnsi="Helvetica" w:cs="Times New Roman"/>
          <w:i/>
          <w:iCs/>
          <w:color w:val="333333"/>
          <w:bdr w:val="none" w:sz="0" w:space="0" w:color="auto" w:frame="1"/>
        </w:rPr>
        <w:t>unidirectional hypotheses</w:t>
      </w:r>
      <w:r w:rsidRPr="00782AD4">
        <w:rPr>
          <w:rFonts w:ascii="Helvetica" w:eastAsia="Times New Roman" w:hAnsi="Helvetica" w:cs="Times New Roman"/>
          <w:color w:val="333333"/>
        </w:rPr>
        <w:t>. The analysis was performed with SmartPLS 3.0 (Figure 3).</w:t>
      </w:r>
    </w:p>
    <w:p w14:paraId="004D6510"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PHOTO (COLOR): Figure 2. Second-Order Formative Construct Loadings.</w:t>
      </w:r>
    </w:p>
    <w:p w14:paraId="342AC5D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PHOTO (COLOR): Figure 3. PLS Structural Model Estimation Results. Note: Significance: *p &lt; 0.10, **p &lt; 0.05, ***p &lt; 0.01. Line thickness signifies effect size. small, medium, large.</w:t>
      </w:r>
    </w:p>
    <w:p w14:paraId="67F5BDA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Although our matched-pair data collection process and use of 5- and 7-point scale anchors reduced the common method bias threat, we performed three analyses to assess it. First, we conducted </w:t>
      </w:r>
      <w:r w:rsidRPr="00782AD4">
        <w:rPr>
          <w:rFonts w:ascii="Helvetica" w:eastAsia="Times New Roman" w:hAnsi="Helvetica" w:cs="Times New Roman"/>
          <w:i/>
          <w:iCs/>
          <w:color w:val="333333"/>
          <w:bdr w:val="none" w:sz="0" w:space="0" w:color="auto" w:frame="1"/>
        </w:rPr>
        <w:t>Harman's one-factor test</w:t>
      </w:r>
      <w:r w:rsidRPr="00782AD4">
        <w:rPr>
          <w:rFonts w:ascii="Helvetica" w:eastAsia="Times New Roman" w:hAnsi="Helvetica" w:cs="Times New Roman"/>
          <w:color w:val="333333"/>
        </w:rPr>
        <w:t> [65, 66]. We entered all the variables for exploratory factor analysis; no single major factor emerged, with only 39.3 percent of variance accounted for by the first factor. Second, we used the </w:t>
      </w:r>
      <w:r w:rsidRPr="00782AD4">
        <w:rPr>
          <w:rFonts w:ascii="Helvetica" w:eastAsia="Times New Roman" w:hAnsi="Helvetica" w:cs="Times New Roman"/>
          <w:i/>
          <w:iCs/>
          <w:color w:val="333333"/>
          <w:bdr w:val="none" w:sz="0" w:space="0" w:color="auto" w:frame="1"/>
        </w:rPr>
        <w:t>partial correlation method</w:t>
      </w:r>
      <w:r w:rsidRPr="00782AD4">
        <w:rPr>
          <w:rFonts w:ascii="Helvetica" w:eastAsia="Times New Roman" w:hAnsi="Helvetica" w:cs="Times New Roman"/>
          <w:color w:val="333333"/>
        </w:rPr>
        <w:t> [66] and added the highest factor from the factor analysis to the PLS model as a control variable. It did not produce a signiﬁcant change in variance explained. Finally, we added a construct to the model not related to our theory to perform the </w:t>
      </w:r>
      <w:r w:rsidRPr="00782AD4">
        <w:rPr>
          <w:rFonts w:ascii="Helvetica" w:eastAsia="Times New Roman" w:hAnsi="Helvetica" w:cs="Times New Roman"/>
          <w:i/>
          <w:iCs/>
          <w:color w:val="333333"/>
          <w:bdr w:val="none" w:sz="0" w:space="0" w:color="auto" w:frame="1"/>
        </w:rPr>
        <w:t>marker variable test</w:t>
      </w:r>
      <w:r w:rsidRPr="00782AD4">
        <w:rPr>
          <w:rFonts w:ascii="Helvetica" w:eastAsia="Times New Roman" w:hAnsi="Helvetica" w:cs="Times New Roman"/>
          <w:color w:val="333333"/>
        </w:rPr>
        <w:t> [49]. The results suggest that common method bias is not a concern.</w:t>
      </w:r>
    </w:p>
    <w:p w14:paraId="597AC37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results indicate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had a positive relationship with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0.81,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 21.92,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supporting the Technology and Integration Hypothesis (H1). It also was positive for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0.33,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 2.90,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supporting the Technology and Service Portfolio Hypothesis (H2). Furthermore,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had positive effects on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0.56,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 5.43,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0.37,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 4.20,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and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0.31,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 2.38,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These support the Integration and Service Portfolio Hypothesis (H3), the Integration and Flexibility Hypothesis (H4), and the Integration and Performance Hypothesis (H7).</w:t>
      </w:r>
    </w:p>
    <w:p w14:paraId="55A9340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also observed positive effects of </w:t>
      </w:r>
      <w:r w:rsidRPr="00782AD4">
        <w:rPr>
          <w:rFonts w:ascii="Helvetica" w:eastAsia="Times New Roman" w:hAnsi="Helvetica" w:cs="Times New Roman"/>
          <w:i/>
          <w:iCs/>
          <w:color w:val="333333"/>
          <w:bdr w:val="none" w:sz="0" w:space="0" w:color="auto" w:frame="1"/>
        </w:rPr>
        <w:t>CSPC on BusFlex</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0.55,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 6.28,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of </w:t>
      </w:r>
      <w:r w:rsidRPr="00782AD4">
        <w:rPr>
          <w:rFonts w:ascii="Helvetica" w:eastAsia="Times New Roman" w:hAnsi="Helvetica" w:cs="Times New Roman"/>
          <w:i/>
          <w:iCs/>
          <w:color w:val="333333"/>
          <w:bdr w:val="none" w:sz="0" w:space="0" w:color="auto" w:frame="1"/>
        </w:rPr>
        <w:t>CSPC on FirmPerf</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0.39,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=3.03,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and of </w:t>
      </w:r>
      <w:r w:rsidRPr="00782AD4">
        <w:rPr>
          <w:rFonts w:ascii="Helvetica" w:eastAsia="Times New Roman" w:hAnsi="Helvetica" w:cs="Times New Roman"/>
          <w:i/>
          <w:iCs/>
          <w:color w:val="333333"/>
          <w:bdr w:val="none" w:sz="0" w:space="0" w:color="auto" w:frame="1"/>
        </w:rPr>
        <w:t>BusFlex on FirmPerf</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0.15,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 1.38,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0.10). These results respectively support the Service Portfolio and Flexibility Hypothesis (H5), the Service Portfolio and Performance Hypothesis (H8), and the Flexibility and Performance Hypothesis (H6). Finally, effects of the control variable </w:t>
      </w:r>
      <w:r w:rsidRPr="00782AD4">
        <w:rPr>
          <w:rFonts w:ascii="Helvetica" w:eastAsia="Times New Roman" w:hAnsi="Helvetica" w:cs="Times New Roman"/>
          <w:i/>
          <w:iCs/>
          <w:color w:val="333333"/>
          <w:bdr w:val="none" w:sz="0" w:space="0" w:color="auto" w:frame="1"/>
        </w:rPr>
        <w:t>Firm Size</w:t>
      </w:r>
      <w:r w:rsidRPr="00782AD4">
        <w:rPr>
          <w:rFonts w:ascii="Helvetica" w:eastAsia="Times New Roman" w:hAnsi="Helvetica" w:cs="Times New Roman"/>
          <w:color w:val="333333"/>
        </w:rPr>
        <w:t> on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-0.05,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=1.47,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0.10), and on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0.05, </w:t>
      </w:r>
      <w:r w:rsidRPr="00782AD4">
        <w:rPr>
          <w:rFonts w:ascii="Helvetica" w:eastAsia="Times New Roman" w:hAnsi="Helvetica" w:cs="Times New Roman"/>
          <w:i/>
          <w:iCs/>
          <w:color w:val="333333"/>
          <w:bdr w:val="none" w:sz="0" w:space="0" w:color="auto" w:frame="1"/>
        </w:rPr>
        <w:t>t</w:t>
      </w:r>
      <w:r w:rsidRPr="00782AD4">
        <w:rPr>
          <w:rFonts w:ascii="Helvetica" w:eastAsia="Times New Roman" w:hAnsi="Helvetica" w:cs="Times New Roman"/>
          <w:color w:val="333333"/>
        </w:rPr>
        <w:t> =1.34,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0.10) are significant and in expected directions, thereby strengthening the overall validity of our results.</w:t>
      </w:r>
    </w:p>
    <w:p w14:paraId="573D9FD2"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lastRenderedPageBreak/>
        <w:t>Our bootstrap confidence interval analysis further supports our findings. Next, we consider the significance of the test results for the structural model's path coefficients (Table 4). Overall, the model explained ~65 percent of the variance in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72 percent of it in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78 percent of it in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and 66 percent of it in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Also, </w:t>
      </w:r>
      <w:r w:rsidRPr="00782AD4">
        <w:rPr>
          <w:rFonts w:ascii="Helvetica" w:eastAsia="Times New Roman" w:hAnsi="Helvetica" w:cs="Times New Roman"/>
          <w:i/>
          <w:iCs/>
          <w:color w:val="333333"/>
          <w:bdr w:val="none" w:sz="0" w:space="0" w:color="auto" w:frame="1"/>
        </w:rPr>
        <w:t>R</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for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is greater than 75 percent and moderate for the other endogenous variables.</w:t>
      </w:r>
    </w:p>
    <w:p w14:paraId="72292CB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Significance Test Results: Structural Model Path Coefficients</w:t>
      </w:r>
    </w:p>
    <w:tbl>
      <w:tblPr>
        <w:tblW w:w="0" w:type="auto"/>
        <w:tblCellMar>
          <w:left w:w="0" w:type="dxa"/>
          <w:right w:w="0" w:type="dxa"/>
        </w:tblCellMar>
        <w:tblLook w:val="04A0" w:firstRow="1" w:lastRow="0" w:firstColumn="1" w:lastColumn="0" w:noHBand="0" w:noVBand="1"/>
      </w:tblPr>
      <w:tblGrid>
        <w:gridCol w:w="867"/>
        <w:gridCol w:w="240"/>
        <w:gridCol w:w="920"/>
        <w:gridCol w:w="307"/>
        <w:gridCol w:w="507"/>
        <w:gridCol w:w="601"/>
        <w:gridCol w:w="468"/>
        <w:gridCol w:w="1288"/>
        <w:gridCol w:w="468"/>
        <w:gridCol w:w="854"/>
      </w:tblGrid>
      <w:tr w:rsidR="00782AD4" w:rsidRPr="00782AD4" w14:paraId="55688477" w14:textId="77777777" w:rsidTr="00782AD4">
        <w:tc>
          <w:tcPr>
            <w:tcW w:w="0" w:type="auto"/>
            <w:gridSpan w:val="3"/>
            <w:tcBorders>
              <w:top w:val="nil"/>
              <w:left w:val="nil"/>
              <w:bottom w:val="nil"/>
              <w:right w:val="nil"/>
            </w:tcBorders>
            <w:shd w:val="clear" w:color="auto" w:fill="auto"/>
            <w:vAlign w:val="bottom"/>
            <w:hideMark/>
          </w:tcPr>
          <w:p w14:paraId="30A5DBEC"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Capability Path</w:t>
            </w:r>
          </w:p>
        </w:tc>
        <w:tc>
          <w:tcPr>
            <w:tcW w:w="0" w:type="auto"/>
            <w:tcBorders>
              <w:top w:val="nil"/>
              <w:left w:val="nil"/>
              <w:bottom w:val="nil"/>
              <w:right w:val="nil"/>
            </w:tcBorders>
            <w:shd w:val="clear" w:color="auto" w:fill="auto"/>
            <w:vAlign w:val="bottom"/>
            <w:hideMark/>
          </w:tcPr>
          <w:p w14:paraId="65F2CC6A"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H#</w:t>
            </w:r>
          </w:p>
        </w:tc>
        <w:tc>
          <w:tcPr>
            <w:tcW w:w="0" w:type="auto"/>
            <w:tcBorders>
              <w:top w:val="nil"/>
              <w:left w:val="nil"/>
              <w:bottom w:val="nil"/>
              <w:right w:val="nil"/>
            </w:tcBorders>
            <w:shd w:val="clear" w:color="auto" w:fill="auto"/>
            <w:vAlign w:val="bottom"/>
            <w:hideMark/>
          </w:tcPr>
          <w:p w14:paraId="2E98FCFD"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Coef</w:t>
            </w:r>
          </w:p>
        </w:tc>
        <w:tc>
          <w:tcPr>
            <w:tcW w:w="0" w:type="auto"/>
            <w:tcBorders>
              <w:top w:val="nil"/>
              <w:left w:val="nil"/>
              <w:bottom w:val="nil"/>
              <w:right w:val="nil"/>
            </w:tcBorders>
            <w:shd w:val="clear" w:color="auto" w:fill="auto"/>
            <w:vAlign w:val="bottom"/>
            <w:hideMark/>
          </w:tcPr>
          <w:p w14:paraId="3E2E40C4"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t</w:t>
            </w:r>
          </w:p>
        </w:tc>
        <w:tc>
          <w:tcPr>
            <w:tcW w:w="0" w:type="auto"/>
            <w:tcBorders>
              <w:top w:val="nil"/>
              <w:left w:val="nil"/>
              <w:bottom w:val="nil"/>
              <w:right w:val="nil"/>
            </w:tcBorders>
            <w:shd w:val="clear" w:color="auto" w:fill="auto"/>
            <w:vAlign w:val="bottom"/>
            <w:hideMark/>
          </w:tcPr>
          <w:p w14:paraId="0F77644A"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p</w:t>
            </w:r>
          </w:p>
        </w:tc>
        <w:tc>
          <w:tcPr>
            <w:tcW w:w="0" w:type="auto"/>
            <w:tcBorders>
              <w:top w:val="nil"/>
              <w:left w:val="nil"/>
              <w:bottom w:val="nil"/>
              <w:right w:val="nil"/>
            </w:tcBorders>
            <w:shd w:val="clear" w:color="auto" w:fill="auto"/>
            <w:vAlign w:val="bottom"/>
            <w:hideMark/>
          </w:tcPr>
          <w:p w14:paraId="724F307D"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95% Conf</w:t>
            </w:r>
          </w:p>
        </w:tc>
        <w:tc>
          <w:tcPr>
            <w:tcW w:w="0" w:type="auto"/>
            <w:tcBorders>
              <w:top w:val="nil"/>
              <w:left w:val="nil"/>
              <w:bottom w:val="nil"/>
              <w:right w:val="nil"/>
            </w:tcBorders>
            <w:shd w:val="clear" w:color="auto" w:fill="auto"/>
            <w:vAlign w:val="bottom"/>
            <w:hideMark/>
          </w:tcPr>
          <w:p w14:paraId="630421CC"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f</w:t>
            </w:r>
            <w:r w:rsidRPr="00782AD4">
              <w:rPr>
                <w:rFonts w:ascii="Helvetica" w:eastAsia="Times New Roman" w:hAnsi="Helvetica" w:cs="Times New Roman"/>
                <w:color w:val="333333"/>
                <w:bdr w:val="none" w:sz="0" w:space="0" w:color="auto" w:frame="1"/>
                <w:vertAlign w:val="superscript"/>
              </w:rPr>
              <w:t>2</w:t>
            </w:r>
          </w:p>
        </w:tc>
        <w:tc>
          <w:tcPr>
            <w:tcW w:w="0" w:type="auto"/>
            <w:tcBorders>
              <w:top w:val="nil"/>
              <w:left w:val="nil"/>
              <w:bottom w:val="nil"/>
              <w:right w:val="nil"/>
            </w:tcBorders>
            <w:shd w:val="clear" w:color="auto" w:fill="auto"/>
            <w:vAlign w:val="bottom"/>
            <w:hideMark/>
          </w:tcPr>
          <w:p w14:paraId="309168A6"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Effect</w:t>
            </w:r>
          </w:p>
        </w:tc>
      </w:tr>
      <w:tr w:rsidR="00782AD4" w:rsidRPr="00782AD4" w14:paraId="0EFCBA7B" w14:textId="77777777" w:rsidTr="00782AD4">
        <w:tc>
          <w:tcPr>
            <w:tcW w:w="0" w:type="auto"/>
            <w:tcBorders>
              <w:top w:val="nil"/>
              <w:left w:val="nil"/>
              <w:bottom w:val="nil"/>
              <w:right w:val="nil"/>
            </w:tcBorders>
            <w:shd w:val="clear" w:color="auto" w:fill="auto"/>
            <w:vAlign w:val="bottom"/>
            <w:hideMark/>
          </w:tcPr>
          <w:p w14:paraId="25AEB31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CTC</w:t>
            </w:r>
          </w:p>
        </w:tc>
        <w:tc>
          <w:tcPr>
            <w:tcW w:w="0" w:type="auto"/>
            <w:tcBorders>
              <w:top w:val="nil"/>
              <w:left w:val="nil"/>
              <w:bottom w:val="nil"/>
              <w:right w:val="nil"/>
            </w:tcBorders>
            <w:shd w:val="clear" w:color="auto" w:fill="auto"/>
            <w:vAlign w:val="bottom"/>
            <w:hideMark/>
          </w:tcPr>
          <w:p w14:paraId="3A19DF89"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0DA1649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CIC</w:t>
            </w:r>
          </w:p>
        </w:tc>
        <w:tc>
          <w:tcPr>
            <w:tcW w:w="0" w:type="auto"/>
            <w:tcBorders>
              <w:top w:val="nil"/>
              <w:left w:val="nil"/>
              <w:bottom w:val="nil"/>
              <w:right w:val="nil"/>
            </w:tcBorders>
            <w:shd w:val="clear" w:color="auto" w:fill="auto"/>
            <w:vAlign w:val="bottom"/>
            <w:hideMark/>
          </w:tcPr>
          <w:p w14:paraId="039D865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H1</w:t>
            </w:r>
          </w:p>
        </w:tc>
        <w:tc>
          <w:tcPr>
            <w:tcW w:w="0" w:type="auto"/>
            <w:tcBorders>
              <w:top w:val="nil"/>
              <w:left w:val="nil"/>
              <w:bottom w:val="nil"/>
              <w:right w:val="nil"/>
            </w:tcBorders>
            <w:shd w:val="clear" w:color="auto" w:fill="auto"/>
            <w:vAlign w:val="bottom"/>
            <w:hideMark/>
          </w:tcPr>
          <w:p w14:paraId="4D37B75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0.81</w:t>
            </w:r>
          </w:p>
        </w:tc>
        <w:tc>
          <w:tcPr>
            <w:tcW w:w="0" w:type="auto"/>
            <w:tcBorders>
              <w:top w:val="nil"/>
              <w:left w:val="nil"/>
              <w:bottom w:val="nil"/>
              <w:right w:val="nil"/>
            </w:tcBorders>
            <w:shd w:val="clear" w:color="auto" w:fill="auto"/>
            <w:vAlign w:val="bottom"/>
            <w:hideMark/>
          </w:tcPr>
          <w:p w14:paraId="6D8212A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21.92</w:t>
            </w:r>
          </w:p>
        </w:tc>
        <w:tc>
          <w:tcPr>
            <w:tcW w:w="0" w:type="auto"/>
            <w:tcBorders>
              <w:top w:val="nil"/>
              <w:left w:val="nil"/>
              <w:bottom w:val="nil"/>
              <w:right w:val="nil"/>
            </w:tcBorders>
            <w:shd w:val="clear" w:color="auto" w:fill="auto"/>
            <w:vAlign w:val="bottom"/>
            <w:hideMark/>
          </w:tcPr>
          <w:p w14:paraId="3212360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0.00</w:t>
            </w:r>
          </w:p>
        </w:tc>
        <w:tc>
          <w:tcPr>
            <w:tcW w:w="0" w:type="auto"/>
            <w:tcBorders>
              <w:top w:val="nil"/>
              <w:left w:val="nil"/>
              <w:bottom w:val="nil"/>
              <w:right w:val="nil"/>
            </w:tcBorders>
            <w:shd w:val="clear" w:color="auto" w:fill="auto"/>
            <w:vAlign w:val="bottom"/>
            <w:hideMark/>
          </w:tcPr>
          <w:p w14:paraId="7FB0A97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[0.72-0.85]</w:t>
            </w:r>
          </w:p>
        </w:tc>
        <w:tc>
          <w:tcPr>
            <w:tcW w:w="0" w:type="auto"/>
            <w:tcBorders>
              <w:top w:val="nil"/>
              <w:left w:val="nil"/>
              <w:bottom w:val="nil"/>
              <w:right w:val="nil"/>
            </w:tcBorders>
            <w:shd w:val="clear" w:color="auto" w:fill="auto"/>
            <w:vAlign w:val="bottom"/>
            <w:hideMark/>
          </w:tcPr>
          <w:p w14:paraId="37637B5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1.96</w:t>
            </w:r>
          </w:p>
        </w:tc>
        <w:tc>
          <w:tcPr>
            <w:tcW w:w="0" w:type="auto"/>
            <w:tcBorders>
              <w:top w:val="nil"/>
              <w:left w:val="nil"/>
              <w:bottom w:val="nil"/>
              <w:right w:val="nil"/>
            </w:tcBorders>
            <w:shd w:val="clear" w:color="auto" w:fill="auto"/>
            <w:vAlign w:val="bottom"/>
            <w:hideMark/>
          </w:tcPr>
          <w:p w14:paraId="7E7FFC3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Large</w:t>
            </w:r>
          </w:p>
        </w:tc>
      </w:tr>
      <w:tr w:rsidR="00782AD4" w:rsidRPr="00782AD4" w14:paraId="5E600A0B" w14:textId="77777777" w:rsidTr="00782AD4">
        <w:tc>
          <w:tcPr>
            <w:tcW w:w="0" w:type="auto"/>
            <w:tcBorders>
              <w:top w:val="nil"/>
              <w:left w:val="nil"/>
              <w:bottom w:val="nil"/>
              <w:right w:val="nil"/>
            </w:tcBorders>
            <w:shd w:val="clear" w:color="auto" w:fill="auto"/>
            <w:vAlign w:val="bottom"/>
            <w:hideMark/>
          </w:tcPr>
          <w:p w14:paraId="108AC02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CTC</w:t>
            </w:r>
          </w:p>
        </w:tc>
        <w:tc>
          <w:tcPr>
            <w:tcW w:w="0" w:type="auto"/>
            <w:tcBorders>
              <w:top w:val="nil"/>
              <w:left w:val="nil"/>
              <w:bottom w:val="nil"/>
              <w:right w:val="nil"/>
            </w:tcBorders>
            <w:shd w:val="clear" w:color="auto" w:fill="auto"/>
            <w:vAlign w:val="bottom"/>
            <w:hideMark/>
          </w:tcPr>
          <w:p w14:paraId="35FA45E0"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5D57749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CSPC</w:t>
            </w:r>
          </w:p>
        </w:tc>
        <w:tc>
          <w:tcPr>
            <w:tcW w:w="0" w:type="auto"/>
            <w:tcBorders>
              <w:top w:val="nil"/>
              <w:left w:val="nil"/>
              <w:bottom w:val="nil"/>
              <w:right w:val="nil"/>
            </w:tcBorders>
            <w:shd w:val="clear" w:color="auto" w:fill="auto"/>
            <w:vAlign w:val="bottom"/>
            <w:hideMark/>
          </w:tcPr>
          <w:p w14:paraId="7F1FE8D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H2</w:t>
            </w:r>
          </w:p>
        </w:tc>
        <w:tc>
          <w:tcPr>
            <w:tcW w:w="0" w:type="auto"/>
            <w:tcBorders>
              <w:top w:val="nil"/>
              <w:left w:val="nil"/>
              <w:bottom w:val="nil"/>
              <w:right w:val="nil"/>
            </w:tcBorders>
            <w:shd w:val="clear" w:color="auto" w:fill="auto"/>
            <w:vAlign w:val="bottom"/>
            <w:hideMark/>
          </w:tcPr>
          <w:p w14:paraId="06347E3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0.33</w:t>
            </w:r>
          </w:p>
        </w:tc>
        <w:tc>
          <w:tcPr>
            <w:tcW w:w="0" w:type="auto"/>
            <w:tcBorders>
              <w:top w:val="nil"/>
              <w:left w:val="nil"/>
              <w:bottom w:val="nil"/>
              <w:right w:val="nil"/>
            </w:tcBorders>
            <w:shd w:val="clear" w:color="auto" w:fill="auto"/>
            <w:vAlign w:val="bottom"/>
            <w:hideMark/>
          </w:tcPr>
          <w:p w14:paraId="26DAAC1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2.90</w:t>
            </w:r>
          </w:p>
        </w:tc>
        <w:tc>
          <w:tcPr>
            <w:tcW w:w="0" w:type="auto"/>
            <w:tcBorders>
              <w:top w:val="nil"/>
              <w:left w:val="nil"/>
              <w:bottom w:val="nil"/>
              <w:right w:val="nil"/>
            </w:tcBorders>
            <w:shd w:val="clear" w:color="auto" w:fill="auto"/>
            <w:vAlign w:val="bottom"/>
            <w:hideMark/>
          </w:tcPr>
          <w:p w14:paraId="2E07E8D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0.00</w:t>
            </w:r>
          </w:p>
        </w:tc>
        <w:tc>
          <w:tcPr>
            <w:tcW w:w="0" w:type="auto"/>
            <w:tcBorders>
              <w:top w:val="nil"/>
              <w:left w:val="nil"/>
              <w:bottom w:val="nil"/>
              <w:right w:val="nil"/>
            </w:tcBorders>
            <w:shd w:val="clear" w:color="auto" w:fill="auto"/>
            <w:vAlign w:val="bottom"/>
            <w:hideMark/>
          </w:tcPr>
          <w:p w14:paraId="007C195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[0.12-0.49]</w:t>
            </w:r>
          </w:p>
        </w:tc>
        <w:tc>
          <w:tcPr>
            <w:tcW w:w="0" w:type="auto"/>
            <w:tcBorders>
              <w:top w:val="nil"/>
              <w:left w:val="nil"/>
              <w:bottom w:val="nil"/>
              <w:right w:val="nil"/>
            </w:tcBorders>
            <w:shd w:val="clear" w:color="auto" w:fill="auto"/>
            <w:vAlign w:val="bottom"/>
            <w:hideMark/>
          </w:tcPr>
          <w:p w14:paraId="33E59A1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0.16</w:t>
            </w:r>
          </w:p>
        </w:tc>
        <w:tc>
          <w:tcPr>
            <w:tcW w:w="0" w:type="auto"/>
            <w:tcBorders>
              <w:top w:val="nil"/>
              <w:left w:val="nil"/>
              <w:bottom w:val="nil"/>
              <w:right w:val="nil"/>
            </w:tcBorders>
            <w:shd w:val="clear" w:color="auto" w:fill="auto"/>
            <w:vAlign w:val="bottom"/>
            <w:hideMark/>
          </w:tcPr>
          <w:p w14:paraId="0A54482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Medium</w:t>
            </w:r>
          </w:p>
        </w:tc>
      </w:tr>
      <w:tr w:rsidR="00782AD4" w:rsidRPr="00782AD4" w14:paraId="2D8F84C8" w14:textId="77777777" w:rsidTr="00782AD4">
        <w:tc>
          <w:tcPr>
            <w:tcW w:w="0" w:type="auto"/>
            <w:tcBorders>
              <w:top w:val="nil"/>
              <w:left w:val="nil"/>
              <w:bottom w:val="nil"/>
              <w:right w:val="nil"/>
            </w:tcBorders>
            <w:shd w:val="clear" w:color="auto" w:fill="auto"/>
            <w:vAlign w:val="bottom"/>
            <w:hideMark/>
          </w:tcPr>
          <w:p w14:paraId="256E275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CIC</w:t>
            </w:r>
          </w:p>
        </w:tc>
        <w:tc>
          <w:tcPr>
            <w:tcW w:w="0" w:type="auto"/>
            <w:tcBorders>
              <w:top w:val="nil"/>
              <w:left w:val="nil"/>
              <w:bottom w:val="nil"/>
              <w:right w:val="nil"/>
            </w:tcBorders>
            <w:shd w:val="clear" w:color="auto" w:fill="auto"/>
            <w:vAlign w:val="bottom"/>
            <w:hideMark/>
          </w:tcPr>
          <w:p w14:paraId="0DE826F3"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1E2AF2C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CSPC</w:t>
            </w:r>
          </w:p>
        </w:tc>
        <w:tc>
          <w:tcPr>
            <w:tcW w:w="0" w:type="auto"/>
            <w:tcBorders>
              <w:top w:val="nil"/>
              <w:left w:val="nil"/>
              <w:bottom w:val="nil"/>
              <w:right w:val="nil"/>
            </w:tcBorders>
            <w:shd w:val="clear" w:color="auto" w:fill="auto"/>
            <w:vAlign w:val="bottom"/>
            <w:hideMark/>
          </w:tcPr>
          <w:p w14:paraId="70B150A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H3</w:t>
            </w:r>
          </w:p>
        </w:tc>
        <w:tc>
          <w:tcPr>
            <w:tcW w:w="0" w:type="auto"/>
            <w:tcBorders>
              <w:top w:val="nil"/>
              <w:left w:val="nil"/>
              <w:bottom w:val="nil"/>
              <w:right w:val="nil"/>
            </w:tcBorders>
            <w:shd w:val="clear" w:color="auto" w:fill="auto"/>
            <w:vAlign w:val="bottom"/>
            <w:hideMark/>
          </w:tcPr>
          <w:p w14:paraId="5D6F062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0.56</w:t>
            </w:r>
          </w:p>
        </w:tc>
        <w:tc>
          <w:tcPr>
            <w:tcW w:w="0" w:type="auto"/>
            <w:tcBorders>
              <w:top w:val="nil"/>
              <w:left w:val="nil"/>
              <w:bottom w:val="nil"/>
              <w:right w:val="nil"/>
            </w:tcBorders>
            <w:shd w:val="clear" w:color="auto" w:fill="auto"/>
            <w:vAlign w:val="bottom"/>
            <w:hideMark/>
          </w:tcPr>
          <w:p w14:paraId="074B118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5.43</w:t>
            </w:r>
          </w:p>
        </w:tc>
        <w:tc>
          <w:tcPr>
            <w:tcW w:w="0" w:type="auto"/>
            <w:tcBorders>
              <w:top w:val="nil"/>
              <w:left w:val="nil"/>
              <w:bottom w:val="nil"/>
              <w:right w:val="nil"/>
            </w:tcBorders>
            <w:shd w:val="clear" w:color="auto" w:fill="auto"/>
            <w:vAlign w:val="bottom"/>
            <w:hideMark/>
          </w:tcPr>
          <w:p w14:paraId="65EB62D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0.00</w:t>
            </w:r>
          </w:p>
        </w:tc>
        <w:tc>
          <w:tcPr>
            <w:tcW w:w="0" w:type="auto"/>
            <w:tcBorders>
              <w:top w:val="nil"/>
              <w:left w:val="nil"/>
              <w:bottom w:val="nil"/>
              <w:right w:val="nil"/>
            </w:tcBorders>
            <w:shd w:val="clear" w:color="auto" w:fill="auto"/>
            <w:vAlign w:val="bottom"/>
            <w:hideMark/>
          </w:tcPr>
          <w:p w14:paraId="123AEDC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[0.40-0.75]</w:t>
            </w:r>
          </w:p>
        </w:tc>
        <w:tc>
          <w:tcPr>
            <w:tcW w:w="0" w:type="auto"/>
            <w:tcBorders>
              <w:top w:val="nil"/>
              <w:left w:val="nil"/>
              <w:bottom w:val="nil"/>
              <w:right w:val="nil"/>
            </w:tcBorders>
            <w:shd w:val="clear" w:color="auto" w:fill="auto"/>
            <w:vAlign w:val="bottom"/>
            <w:hideMark/>
          </w:tcPr>
          <w:p w14:paraId="79C0BCD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0.39</w:t>
            </w:r>
          </w:p>
        </w:tc>
        <w:tc>
          <w:tcPr>
            <w:tcW w:w="0" w:type="auto"/>
            <w:tcBorders>
              <w:top w:val="nil"/>
              <w:left w:val="nil"/>
              <w:bottom w:val="nil"/>
              <w:right w:val="nil"/>
            </w:tcBorders>
            <w:shd w:val="clear" w:color="auto" w:fill="auto"/>
            <w:vAlign w:val="bottom"/>
            <w:hideMark/>
          </w:tcPr>
          <w:p w14:paraId="7218696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Large</w:t>
            </w:r>
          </w:p>
        </w:tc>
      </w:tr>
      <w:tr w:rsidR="00782AD4" w:rsidRPr="00782AD4" w14:paraId="3B91E4E2" w14:textId="77777777" w:rsidTr="00782AD4">
        <w:tc>
          <w:tcPr>
            <w:tcW w:w="0" w:type="auto"/>
            <w:tcBorders>
              <w:top w:val="nil"/>
              <w:left w:val="nil"/>
              <w:bottom w:val="nil"/>
              <w:right w:val="nil"/>
            </w:tcBorders>
            <w:shd w:val="clear" w:color="auto" w:fill="auto"/>
            <w:vAlign w:val="bottom"/>
            <w:hideMark/>
          </w:tcPr>
          <w:p w14:paraId="75E5BEB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CIC</w:t>
            </w:r>
          </w:p>
        </w:tc>
        <w:tc>
          <w:tcPr>
            <w:tcW w:w="0" w:type="auto"/>
            <w:tcBorders>
              <w:top w:val="nil"/>
              <w:left w:val="nil"/>
              <w:bottom w:val="nil"/>
              <w:right w:val="nil"/>
            </w:tcBorders>
            <w:shd w:val="clear" w:color="auto" w:fill="auto"/>
            <w:vAlign w:val="bottom"/>
            <w:hideMark/>
          </w:tcPr>
          <w:p w14:paraId="09D1D543"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51EF251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BusFlex</w:t>
            </w:r>
          </w:p>
        </w:tc>
        <w:tc>
          <w:tcPr>
            <w:tcW w:w="0" w:type="auto"/>
            <w:tcBorders>
              <w:top w:val="nil"/>
              <w:left w:val="nil"/>
              <w:bottom w:val="nil"/>
              <w:right w:val="nil"/>
            </w:tcBorders>
            <w:shd w:val="clear" w:color="auto" w:fill="auto"/>
            <w:vAlign w:val="bottom"/>
            <w:hideMark/>
          </w:tcPr>
          <w:p w14:paraId="5E6F7EB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H4</w:t>
            </w:r>
          </w:p>
        </w:tc>
        <w:tc>
          <w:tcPr>
            <w:tcW w:w="0" w:type="auto"/>
            <w:tcBorders>
              <w:top w:val="nil"/>
              <w:left w:val="nil"/>
              <w:bottom w:val="nil"/>
              <w:right w:val="nil"/>
            </w:tcBorders>
            <w:shd w:val="clear" w:color="auto" w:fill="auto"/>
            <w:vAlign w:val="bottom"/>
            <w:hideMark/>
          </w:tcPr>
          <w:p w14:paraId="765DCAC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0.37</w:t>
            </w:r>
          </w:p>
        </w:tc>
        <w:tc>
          <w:tcPr>
            <w:tcW w:w="0" w:type="auto"/>
            <w:tcBorders>
              <w:top w:val="nil"/>
              <w:left w:val="nil"/>
              <w:bottom w:val="nil"/>
              <w:right w:val="nil"/>
            </w:tcBorders>
            <w:shd w:val="clear" w:color="auto" w:fill="auto"/>
            <w:vAlign w:val="bottom"/>
            <w:hideMark/>
          </w:tcPr>
          <w:p w14:paraId="07396EB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4.20</w:t>
            </w:r>
          </w:p>
        </w:tc>
        <w:tc>
          <w:tcPr>
            <w:tcW w:w="0" w:type="auto"/>
            <w:tcBorders>
              <w:top w:val="nil"/>
              <w:left w:val="nil"/>
              <w:bottom w:val="nil"/>
              <w:right w:val="nil"/>
            </w:tcBorders>
            <w:shd w:val="clear" w:color="auto" w:fill="auto"/>
            <w:vAlign w:val="bottom"/>
            <w:hideMark/>
          </w:tcPr>
          <w:p w14:paraId="4159395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0.00</w:t>
            </w:r>
          </w:p>
        </w:tc>
        <w:tc>
          <w:tcPr>
            <w:tcW w:w="0" w:type="auto"/>
            <w:tcBorders>
              <w:top w:val="nil"/>
              <w:left w:val="nil"/>
              <w:bottom w:val="nil"/>
              <w:right w:val="nil"/>
            </w:tcBorders>
            <w:shd w:val="clear" w:color="auto" w:fill="auto"/>
            <w:vAlign w:val="bottom"/>
            <w:hideMark/>
          </w:tcPr>
          <w:p w14:paraId="16F8ECA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[0.23-0.52]</w:t>
            </w:r>
          </w:p>
        </w:tc>
        <w:tc>
          <w:tcPr>
            <w:tcW w:w="0" w:type="auto"/>
            <w:tcBorders>
              <w:top w:val="nil"/>
              <w:left w:val="nil"/>
              <w:bottom w:val="nil"/>
              <w:right w:val="nil"/>
            </w:tcBorders>
            <w:shd w:val="clear" w:color="auto" w:fill="auto"/>
            <w:vAlign w:val="bottom"/>
            <w:hideMark/>
          </w:tcPr>
          <w:p w14:paraId="669AE7A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0.22</w:t>
            </w:r>
          </w:p>
        </w:tc>
        <w:tc>
          <w:tcPr>
            <w:tcW w:w="0" w:type="auto"/>
            <w:tcBorders>
              <w:top w:val="nil"/>
              <w:left w:val="nil"/>
              <w:bottom w:val="nil"/>
              <w:right w:val="nil"/>
            </w:tcBorders>
            <w:shd w:val="clear" w:color="auto" w:fill="auto"/>
            <w:vAlign w:val="bottom"/>
            <w:hideMark/>
          </w:tcPr>
          <w:p w14:paraId="5FB4F11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Medium</w:t>
            </w:r>
          </w:p>
        </w:tc>
      </w:tr>
      <w:tr w:rsidR="00782AD4" w:rsidRPr="00782AD4" w14:paraId="72C5CA7D" w14:textId="77777777" w:rsidTr="00782AD4">
        <w:tc>
          <w:tcPr>
            <w:tcW w:w="0" w:type="auto"/>
            <w:tcBorders>
              <w:top w:val="nil"/>
              <w:left w:val="nil"/>
              <w:bottom w:val="nil"/>
              <w:right w:val="nil"/>
            </w:tcBorders>
            <w:shd w:val="clear" w:color="auto" w:fill="auto"/>
            <w:vAlign w:val="bottom"/>
            <w:hideMark/>
          </w:tcPr>
          <w:p w14:paraId="670690A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CSPC</w:t>
            </w:r>
          </w:p>
        </w:tc>
        <w:tc>
          <w:tcPr>
            <w:tcW w:w="0" w:type="auto"/>
            <w:tcBorders>
              <w:top w:val="nil"/>
              <w:left w:val="nil"/>
              <w:bottom w:val="nil"/>
              <w:right w:val="nil"/>
            </w:tcBorders>
            <w:shd w:val="clear" w:color="auto" w:fill="auto"/>
            <w:vAlign w:val="bottom"/>
            <w:hideMark/>
          </w:tcPr>
          <w:p w14:paraId="01E88614"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506C693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BusFlex</w:t>
            </w:r>
          </w:p>
        </w:tc>
        <w:tc>
          <w:tcPr>
            <w:tcW w:w="0" w:type="auto"/>
            <w:tcBorders>
              <w:top w:val="nil"/>
              <w:left w:val="nil"/>
              <w:bottom w:val="nil"/>
              <w:right w:val="nil"/>
            </w:tcBorders>
            <w:shd w:val="clear" w:color="auto" w:fill="auto"/>
            <w:vAlign w:val="bottom"/>
            <w:hideMark/>
          </w:tcPr>
          <w:p w14:paraId="6A0CFC1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H5</w:t>
            </w:r>
          </w:p>
        </w:tc>
        <w:tc>
          <w:tcPr>
            <w:tcW w:w="0" w:type="auto"/>
            <w:tcBorders>
              <w:top w:val="nil"/>
              <w:left w:val="nil"/>
              <w:bottom w:val="nil"/>
              <w:right w:val="nil"/>
            </w:tcBorders>
            <w:shd w:val="clear" w:color="auto" w:fill="auto"/>
            <w:vAlign w:val="bottom"/>
            <w:hideMark/>
          </w:tcPr>
          <w:p w14:paraId="0F2F9CB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0.55</w:t>
            </w:r>
          </w:p>
        </w:tc>
        <w:tc>
          <w:tcPr>
            <w:tcW w:w="0" w:type="auto"/>
            <w:tcBorders>
              <w:top w:val="nil"/>
              <w:left w:val="nil"/>
              <w:bottom w:val="nil"/>
              <w:right w:val="nil"/>
            </w:tcBorders>
            <w:shd w:val="clear" w:color="auto" w:fill="auto"/>
            <w:vAlign w:val="bottom"/>
            <w:hideMark/>
          </w:tcPr>
          <w:p w14:paraId="309B6E8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6.28</w:t>
            </w:r>
          </w:p>
        </w:tc>
        <w:tc>
          <w:tcPr>
            <w:tcW w:w="0" w:type="auto"/>
            <w:tcBorders>
              <w:top w:val="nil"/>
              <w:left w:val="nil"/>
              <w:bottom w:val="nil"/>
              <w:right w:val="nil"/>
            </w:tcBorders>
            <w:shd w:val="clear" w:color="auto" w:fill="auto"/>
            <w:vAlign w:val="bottom"/>
            <w:hideMark/>
          </w:tcPr>
          <w:p w14:paraId="55EBC8F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0.00</w:t>
            </w:r>
          </w:p>
        </w:tc>
        <w:tc>
          <w:tcPr>
            <w:tcW w:w="0" w:type="auto"/>
            <w:tcBorders>
              <w:top w:val="nil"/>
              <w:left w:val="nil"/>
              <w:bottom w:val="nil"/>
              <w:right w:val="nil"/>
            </w:tcBorders>
            <w:shd w:val="clear" w:color="auto" w:fill="auto"/>
            <w:vAlign w:val="bottom"/>
            <w:hideMark/>
          </w:tcPr>
          <w:p w14:paraId="5188C39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[0.40-0.69]</w:t>
            </w:r>
          </w:p>
        </w:tc>
        <w:tc>
          <w:tcPr>
            <w:tcW w:w="0" w:type="auto"/>
            <w:tcBorders>
              <w:top w:val="nil"/>
              <w:left w:val="nil"/>
              <w:bottom w:val="nil"/>
              <w:right w:val="nil"/>
            </w:tcBorders>
            <w:shd w:val="clear" w:color="auto" w:fill="auto"/>
            <w:vAlign w:val="bottom"/>
            <w:hideMark/>
          </w:tcPr>
          <w:p w14:paraId="06C3F28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0.47</w:t>
            </w:r>
          </w:p>
        </w:tc>
        <w:tc>
          <w:tcPr>
            <w:tcW w:w="0" w:type="auto"/>
            <w:tcBorders>
              <w:top w:val="nil"/>
              <w:left w:val="nil"/>
              <w:bottom w:val="nil"/>
              <w:right w:val="nil"/>
            </w:tcBorders>
            <w:shd w:val="clear" w:color="auto" w:fill="auto"/>
            <w:vAlign w:val="bottom"/>
            <w:hideMark/>
          </w:tcPr>
          <w:p w14:paraId="263C4F9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Large</w:t>
            </w:r>
          </w:p>
        </w:tc>
      </w:tr>
      <w:tr w:rsidR="00782AD4" w:rsidRPr="00782AD4" w14:paraId="2AEBB4CD" w14:textId="77777777" w:rsidTr="00782AD4">
        <w:tc>
          <w:tcPr>
            <w:tcW w:w="0" w:type="auto"/>
            <w:tcBorders>
              <w:top w:val="nil"/>
              <w:left w:val="nil"/>
              <w:bottom w:val="nil"/>
              <w:right w:val="nil"/>
            </w:tcBorders>
            <w:shd w:val="clear" w:color="auto" w:fill="auto"/>
            <w:vAlign w:val="bottom"/>
            <w:hideMark/>
          </w:tcPr>
          <w:p w14:paraId="28F6029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BusFlex</w:t>
            </w:r>
          </w:p>
        </w:tc>
        <w:tc>
          <w:tcPr>
            <w:tcW w:w="0" w:type="auto"/>
            <w:tcBorders>
              <w:top w:val="nil"/>
              <w:left w:val="nil"/>
              <w:bottom w:val="nil"/>
              <w:right w:val="nil"/>
            </w:tcBorders>
            <w:shd w:val="clear" w:color="auto" w:fill="auto"/>
            <w:vAlign w:val="bottom"/>
            <w:hideMark/>
          </w:tcPr>
          <w:p w14:paraId="00CD308C"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5ACC235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FirmPerf</w:t>
            </w:r>
          </w:p>
        </w:tc>
        <w:tc>
          <w:tcPr>
            <w:tcW w:w="0" w:type="auto"/>
            <w:tcBorders>
              <w:top w:val="nil"/>
              <w:left w:val="nil"/>
              <w:bottom w:val="nil"/>
              <w:right w:val="nil"/>
            </w:tcBorders>
            <w:shd w:val="clear" w:color="auto" w:fill="auto"/>
            <w:vAlign w:val="bottom"/>
            <w:hideMark/>
          </w:tcPr>
          <w:p w14:paraId="6475324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H6</w:t>
            </w:r>
          </w:p>
        </w:tc>
        <w:tc>
          <w:tcPr>
            <w:tcW w:w="0" w:type="auto"/>
            <w:tcBorders>
              <w:top w:val="nil"/>
              <w:left w:val="nil"/>
              <w:bottom w:val="nil"/>
              <w:right w:val="nil"/>
            </w:tcBorders>
            <w:shd w:val="clear" w:color="auto" w:fill="auto"/>
            <w:vAlign w:val="bottom"/>
            <w:hideMark/>
          </w:tcPr>
          <w:p w14:paraId="7F159E8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0.15</w:t>
            </w:r>
          </w:p>
        </w:tc>
        <w:tc>
          <w:tcPr>
            <w:tcW w:w="0" w:type="auto"/>
            <w:tcBorders>
              <w:top w:val="nil"/>
              <w:left w:val="nil"/>
              <w:bottom w:val="nil"/>
              <w:right w:val="nil"/>
            </w:tcBorders>
            <w:shd w:val="clear" w:color="auto" w:fill="auto"/>
            <w:vAlign w:val="bottom"/>
            <w:hideMark/>
          </w:tcPr>
          <w:p w14:paraId="7B6FCD1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1.32</w:t>
            </w:r>
          </w:p>
        </w:tc>
        <w:tc>
          <w:tcPr>
            <w:tcW w:w="0" w:type="auto"/>
            <w:tcBorders>
              <w:top w:val="nil"/>
              <w:left w:val="nil"/>
              <w:bottom w:val="nil"/>
              <w:right w:val="nil"/>
            </w:tcBorders>
            <w:shd w:val="clear" w:color="auto" w:fill="auto"/>
            <w:vAlign w:val="bottom"/>
            <w:hideMark/>
          </w:tcPr>
          <w:p w14:paraId="0B1B53E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0.09</w:t>
            </w:r>
          </w:p>
        </w:tc>
        <w:tc>
          <w:tcPr>
            <w:tcW w:w="0" w:type="auto"/>
            <w:tcBorders>
              <w:top w:val="nil"/>
              <w:left w:val="nil"/>
              <w:bottom w:val="nil"/>
              <w:right w:val="nil"/>
            </w:tcBorders>
            <w:shd w:val="clear" w:color="auto" w:fill="auto"/>
            <w:vAlign w:val="bottom"/>
            <w:hideMark/>
          </w:tcPr>
          <w:p w14:paraId="326EA47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[−0.03-0.34]</w:t>
            </w:r>
          </w:p>
        </w:tc>
        <w:tc>
          <w:tcPr>
            <w:tcW w:w="0" w:type="auto"/>
            <w:tcBorders>
              <w:top w:val="nil"/>
              <w:left w:val="nil"/>
              <w:bottom w:val="nil"/>
              <w:right w:val="nil"/>
            </w:tcBorders>
            <w:shd w:val="clear" w:color="auto" w:fill="auto"/>
            <w:vAlign w:val="bottom"/>
            <w:hideMark/>
          </w:tcPr>
          <w:p w14:paraId="59A7C05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0.02</w:t>
            </w:r>
          </w:p>
        </w:tc>
        <w:tc>
          <w:tcPr>
            <w:tcW w:w="0" w:type="auto"/>
            <w:tcBorders>
              <w:top w:val="nil"/>
              <w:left w:val="nil"/>
              <w:bottom w:val="nil"/>
              <w:right w:val="nil"/>
            </w:tcBorders>
            <w:shd w:val="clear" w:color="auto" w:fill="auto"/>
            <w:vAlign w:val="bottom"/>
            <w:hideMark/>
          </w:tcPr>
          <w:p w14:paraId="1389DCE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Small</w:t>
            </w:r>
          </w:p>
        </w:tc>
      </w:tr>
      <w:tr w:rsidR="00782AD4" w:rsidRPr="00782AD4" w14:paraId="63D3BD7E" w14:textId="77777777" w:rsidTr="00782AD4">
        <w:tc>
          <w:tcPr>
            <w:tcW w:w="0" w:type="auto"/>
            <w:tcBorders>
              <w:top w:val="nil"/>
              <w:left w:val="nil"/>
              <w:bottom w:val="nil"/>
              <w:right w:val="nil"/>
            </w:tcBorders>
            <w:shd w:val="clear" w:color="auto" w:fill="auto"/>
            <w:vAlign w:val="bottom"/>
            <w:hideMark/>
          </w:tcPr>
          <w:p w14:paraId="2F83E92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CIC</w:t>
            </w:r>
          </w:p>
        </w:tc>
        <w:tc>
          <w:tcPr>
            <w:tcW w:w="0" w:type="auto"/>
            <w:tcBorders>
              <w:top w:val="nil"/>
              <w:left w:val="nil"/>
              <w:bottom w:val="nil"/>
              <w:right w:val="nil"/>
            </w:tcBorders>
            <w:shd w:val="clear" w:color="auto" w:fill="auto"/>
            <w:vAlign w:val="bottom"/>
            <w:hideMark/>
          </w:tcPr>
          <w:p w14:paraId="7293437E"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169134E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FirmPerf</w:t>
            </w:r>
          </w:p>
        </w:tc>
        <w:tc>
          <w:tcPr>
            <w:tcW w:w="0" w:type="auto"/>
            <w:tcBorders>
              <w:top w:val="nil"/>
              <w:left w:val="nil"/>
              <w:bottom w:val="nil"/>
              <w:right w:val="nil"/>
            </w:tcBorders>
            <w:shd w:val="clear" w:color="auto" w:fill="auto"/>
            <w:vAlign w:val="bottom"/>
            <w:hideMark/>
          </w:tcPr>
          <w:p w14:paraId="5BA8678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H7</w:t>
            </w:r>
          </w:p>
        </w:tc>
        <w:tc>
          <w:tcPr>
            <w:tcW w:w="0" w:type="auto"/>
            <w:tcBorders>
              <w:top w:val="nil"/>
              <w:left w:val="nil"/>
              <w:bottom w:val="nil"/>
              <w:right w:val="nil"/>
            </w:tcBorders>
            <w:shd w:val="clear" w:color="auto" w:fill="auto"/>
            <w:vAlign w:val="bottom"/>
            <w:hideMark/>
          </w:tcPr>
          <w:p w14:paraId="669964F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0.31</w:t>
            </w:r>
          </w:p>
        </w:tc>
        <w:tc>
          <w:tcPr>
            <w:tcW w:w="0" w:type="auto"/>
            <w:tcBorders>
              <w:top w:val="nil"/>
              <w:left w:val="nil"/>
              <w:bottom w:val="nil"/>
              <w:right w:val="nil"/>
            </w:tcBorders>
            <w:shd w:val="clear" w:color="auto" w:fill="auto"/>
            <w:vAlign w:val="bottom"/>
            <w:hideMark/>
          </w:tcPr>
          <w:p w14:paraId="25C2276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2.38</w:t>
            </w:r>
          </w:p>
        </w:tc>
        <w:tc>
          <w:tcPr>
            <w:tcW w:w="0" w:type="auto"/>
            <w:tcBorders>
              <w:top w:val="nil"/>
              <w:left w:val="nil"/>
              <w:bottom w:val="nil"/>
              <w:right w:val="nil"/>
            </w:tcBorders>
            <w:shd w:val="clear" w:color="auto" w:fill="auto"/>
            <w:vAlign w:val="bottom"/>
            <w:hideMark/>
          </w:tcPr>
          <w:p w14:paraId="246F4B1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0.01</w:t>
            </w:r>
          </w:p>
        </w:tc>
        <w:tc>
          <w:tcPr>
            <w:tcW w:w="0" w:type="auto"/>
            <w:tcBorders>
              <w:top w:val="nil"/>
              <w:left w:val="nil"/>
              <w:bottom w:val="nil"/>
              <w:right w:val="nil"/>
            </w:tcBorders>
            <w:shd w:val="clear" w:color="auto" w:fill="auto"/>
            <w:vAlign w:val="bottom"/>
            <w:hideMark/>
          </w:tcPr>
          <w:p w14:paraId="5CA006D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[0.09-0.51]</w:t>
            </w:r>
          </w:p>
        </w:tc>
        <w:tc>
          <w:tcPr>
            <w:tcW w:w="0" w:type="auto"/>
            <w:tcBorders>
              <w:top w:val="nil"/>
              <w:left w:val="nil"/>
              <w:bottom w:val="nil"/>
              <w:right w:val="nil"/>
            </w:tcBorders>
            <w:shd w:val="clear" w:color="auto" w:fill="auto"/>
            <w:vAlign w:val="bottom"/>
            <w:hideMark/>
          </w:tcPr>
          <w:p w14:paraId="0234733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0.09</w:t>
            </w:r>
          </w:p>
        </w:tc>
        <w:tc>
          <w:tcPr>
            <w:tcW w:w="0" w:type="auto"/>
            <w:tcBorders>
              <w:top w:val="nil"/>
              <w:left w:val="nil"/>
              <w:bottom w:val="nil"/>
              <w:right w:val="nil"/>
            </w:tcBorders>
            <w:shd w:val="clear" w:color="auto" w:fill="auto"/>
            <w:vAlign w:val="bottom"/>
            <w:hideMark/>
          </w:tcPr>
          <w:p w14:paraId="3135463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Small</w:t>
            </w:r>
          </w:p>
        </w:tc>
      </w:tr>
      <w:tr w:rsidR="00782AD4" w:rsidRPr="00782AD4" w14:paraId="245BE07A" w14:textId="77777777" w:rsidTr="00782AD4">
        <w:tc>
          <w:tcPr>
            <w:tcW w:w="0" w:type="auto"/>
            <w:tcBorders>
              <w:top w:val="nil"/>
              <w:left w:val="nil"/>
              <w:bottom w:val="nil"/>
              <w:right w:val="nil"/>
            </w:tcBorders>
            <w:shd w:val="clear" w:color="auto" w:fill="auto"/>
            <w:vAlign w:val="bottom"/>
            <w:hideMark/>
          </w:tcPr>
          <w:p w14:paraId="4D1971E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CSPC</w:t>
            </w:r>
          </w:p>
        </w:tc>
        <w:tc>
          <w:tcPr>
            <w:tcW w:w="0" w:type="auto"/>
            <w:tcBorders>
              <w:top w:val="nil"/>
              <w:left w:val="nil"/>
              <w:bottom w:val="nil"/>
              <w:right w:val="nil"/>
            </w:tcBorders>
            <w:shd w:val="clear" w:color="auto" w:fill="auto"/>
            <w:vAlign w:val="bottom"/>
            <w:hideMark/>
          </w:tcPr>
          <w:p w14:paraId="643275D0"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7EDEABC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FirmPerf</w:t>
            </w:r>
          </w:p>
        </w:tc>
        <w:tc>
          <w:tcPr>
            <w:tcW w:w="0" w:type="auto"/>
            <w:tcBorders>
              <w:top w:val="nil"/>
              <w:left w:val="nil"/>
              <w:bottom w:val="nil"/>
              <w:right w:val="nil"/>
            </w:tcBorders>
            <w:shd w:val="clear" w:color="auto" w:fill="auto"/>
            <w:vAlign w:val="bottom"/>
            <w:hideMark/>
          </w:tcPr>
          <w:p w14:paraId="3F714E8E"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H8</w:t>
            </w:r>
          </w:p>
        </w:tc>
        <w:tc>
          <w:tcPr>
            <w:tcW w:w="0" w:type="auto"/>
            <w:tcBorders>
              <w:top w:val="nil"/>
              <w:left w:val="nil"/>
              <w:bottom w:val="nil"/>
              <w:right w:val="nil"/>
            </w:tcBorders>
            <w:shd w:val="clear" w:color="auto" w:fill="auto"/>
            <w:vAlign w:val="bottom"/>
            <w:hideMark/>
          </w:tcPr>
          <w:p w14:paraId="78DF864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0.39</w:t>
            </w:r>
          </w:p>
        </w:tc>
        <w:tc>
          <w:tcPr>
            <w:tcW w:w="0" w:type="auto"/>
            <w:tcBorders>
              <w:top w:val="nil"/>
              <w:left w:val="nil"/>
              <w:bottom w:val="nil"/>
              <w:right w:val="nil"/>
            </w:tcBorders>
            <w:shd w:val="clear" w:color="auto" w:fill="auto"/>
            <w:vAlign w:val="bottom"/>
            <w:hideMark/>
          </w:tcPr>
          <w:p w14:paraId="322E88A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3.03</w:t>
            </w:r>
          </w:p>
        </w:tc>
        <w:tc>
          <w:tcPr>
            <w:tcW w:w="0" w:type="auto"/>
            <w:tcBorders>
              <w:top w:val="nil"/>
              <w:left w:val="nil"/>
              <w:bottom w:val="nil"/>
              <w:right w:val="nil"/>
            </w:tcBorders>
            <w:shd w:val="clear" w:color="auto" w:fill="auto"/>
            <w:vAlign w:val="bottom"/>
            <w:hideMark/>
          </w:tcPr>
          <w:p w14:paraId="3E3DB0C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0.00</w:t>
            </w:r>
          </w:p>
        </w:tc>
        <w:tc>
          <w:tcPr>
            <w:tcW w:w="0" w:type="auto"/>
            <w:tcBorders>
              <w:top w:val="nil"/>
              <w:left w:val="nil"/>
              <w:bottom w:val="nil"/>
              <w:right w:val="nil"/>
            </w:tcBorders>
            <w:shd w:val="clear" w:color="auto" w:fill="auto"/>
            <w:vAlign w:val="bottom"/>
            <w:hideMark/>
          </w:tcPr>
          <w:p w14:paraId="5FB4C0E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[0.17-0.60]</w:t>
            </w:r>
          </w:p>
        </w:tc>
        <w:tc>
          <w:tcPr>
            <w:tcW w:w="0" w:type="auto"/>
            <w:tcBorders>
              <w:top w:val="nil"/>
              <w:left w:val="nil"/>
              <w:bottom w:val="nil"/>
              <w:right w:val="nil"/>
            </w:tcBorders>
            <w:shd w:val="clear" w:color="auto" w:fill="auto"/>
            <w:vAlign w:val="bottom"/>
            <w:hideMark/>
          </w:tcPr>
          <w:p w14:paraId="34583CC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0.11</w:t>
            </w:r>
          </w:p>
        </w:tc>
        <w:tc>
          <w:tcPr>
            <w:tcW w:w="0" w:type="auto"/>
            <w:tcBorders>
              <w:top w:val="nil"/>
              <w:left w:val="nil"/>
              <w:bottom w:val="nil"/>
              <w:right w:val="nil"/>
            </w:tcBorders>
            <w:shd w:val="clear" w:color="auto" w:fill="auto"/>
            <w:vAlign w:val="bottom"/>
            <w:hideMark/>
          </w:tcPr>
          <w:p w14:paraId="381F506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Small</w:t>
            </w:r>
          </w:p>
        </w:tc>
      </w:tr>
    </w:tbl>
    <w:p w14:paraId="73BF5B1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In addition to evaluating the </w:t>
      </w:r>
      <w:r w:rsidRPr="00782AD4">
        <w:rPr>
          <w:rFonts w:ascii="Helvetica" w:eastAsia="Times New Roman" w:hAnsi="Helvetica" w:cs="Times New Roman"/>
          <w:i/>
          <w:iCs/>
          <w:color w:val="333333"/>
          <w:bdr w:val="none" w:sz="0" w:space="0" w:color="auto" w:frame="1"/>
        </w:rPr>
        <w:t>R</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values</w:t>
      </w:r>
      <w:r w:rsidRPr="00782AD4">
        <w:rPr>
          <w:rFonts w:ascii="Helvetica" w:eastAsia="Times New Roman" w:hAnsi="Helvetica" w:cs="Times New Roman"/>
          <w:color w:val="333333"/>
        </w:rPr>
        <w:t> of the endogenous variables, we assessed the </w:t>
      </w:r>
      <w:r w:rsidRPr="00782AD4">
        <w:rPr>
          <w:rFonts w:ascii="Helvetica" w:eastAsia="Times New Roman" w:hAnsi="Helvetica" w:cs="Times New Roman"/>
          <w:i/>
          <w:iCs/>
          <w:color w:val="333333"/>
          <w:bdr w:val="none" w:sz="0" w:space="0" w:color="auto" w:frame="1"/>
        </w:rPr>
        <w:t>effect size, f</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This measures the change in </w:t>
      </w:r>
      <w:r w:rsidRPr="00782AD4">
        <w:rPr>
          <w:rFonts w:ascii="Helvetica" w:eastAsia="Times New Roman" w:hAnsi="Helvetica" w:cs="Times New Roman"/>
          <w:i/>
          <w:iCs/>
          <w:color w:val="333333"/>
          <w:bdr w:val="none" w:sz="0" w:space="0" w:color="auto" w:frame="1"/>
        </w:rPr>
        <w:t>R</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when a path is omitted from the model. The relationships between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f</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 1.96),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f</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 0.39), and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f</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 0.47) all evidenced a large effect size. The relationships between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f</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 0.16) and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f</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 0.22) had medium effect sizes from 0.15 to 0.35. Finally, the relationships between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f</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 0.31),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f</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 0.11), and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w:t>
      </w:r>
      <w:r w:rsidRPr="00782AD4">
        <w:rPr>
          <w:rFonts w:ascii="Helvetica" w:eastAsia="Times New Roman" w:hAnsi="Helvetica" w:cs="Times New Roman"/>
          <w:i/>
          <w:iCs/>
          <w:color w:val="333333"/>
          <w:bdr w:val="none" w:sz="0" w:space="0" w:color="auto" w:frame="1"/>
        </w:rPr>
        <w:t>f</w:t>
      </w:r>
      <w:r w:rsidRPr="00782AD4">
        <w:rPr>
          <w:rFonts w:ascii="Helvetica" w:eastAsia="Times New Roman" w:hAnsi="Helvetica" w:cs="Times New Roman"/>
          <w:color w:val="333333"/>
          <w:bdr w:val="none" w:sz="0" w:space="0" w:color="auto" w:frame="1"/>
          <w:vertAlign w:val="superscript"/>
        </w:rPr>
        <w:t>2</w:t>
      </w:r>
      <w:r w:rsidRPr="00782AD4">
        <w:rPr>
          <w:rFonts w:ascii="Helvetica" w:eastAsia="Times New Roman" w:hAnsi="Helvetica" w:cs="Times New Roman"/>
          <w:color w:val="333333"/>
        </w:rPr>
        <w:t> = 0.02) all had small effect sizes.</w:t>
      </w:r>
    </w:p>
    <w:p w14:paraId="0F1793F3"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Examination of the effect size enabled us to assess the relative importance of the significant relationships. Our results suggest that the path,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w:t>
      </w:r>
      <w:r w:rsidRPr="00782AD4">
        <w:rPr>
          <w:rFonts w:ascii="Times New Roman" w:eastAsia="Times New Roman" w:hAnsi="Times New Roman" w:cs="Times New Roman"/>
          <w:color w:val="333333"/>
        </w:rPr>
        <w:t>→</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w:t>
      </w:r>
      <w:r w:rsidRPr="00782AD4">
        <w:rPr>
          <w:rFonts w:ascii="Times New Roman" w:eastAsia="Times New Roman" w:hAnsi="Times New Roman" w:cs="Times New Roman"/>
          <w:color w:val="333333"/>
        </w:rPr>
        <w:t>→</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w:t>
      </w:r>
      <w:r w:rsidRPr="00782AD4">
        <w:rPr>
          <w:rFonts w:ascii="Times New Roman" w:eastAsia="Times New Roman" w:hAnsi="Times New Roman" w:cs="Times New Roman"/>
          <w:color w:val="333333"/>
        </w:rPr>
        <w:t>→</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is more important than the other paths in the model. Even though the coefficients for the other paths are significant, their relatively smaller sizes in comparison to the coefficients of this identified path may warrant lesser managerial attention. Furthermore, the path with the largest effect sizes corresponds to that which was hypothesized.[20]</w:t>
      </w:r>
    </w:p>
    <w:p w14:paraId="1693831C"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Next, to assess the possibility of </w:t>
      </w:r>
      <w:r w:rsidRPr="00782AD4">
        <w:rPr>
          <w:rFonts w:ascii="Helvetica" w:eastAsia="Times New Roman" w:hAnsi="Helvetica" w:cs="Times New Roman"/>
          <w:i/>
          <w:iCs/>
          <w:color w:val="333333"/>
          <w:bdr w:val="none" w:sz="0" w:space="0" w:color="auto" w:frame="1"/>
        </w:rPr>
        <w:t>multiple mediation</w:t>
      </w:r>
      <w:r w:rsidRPr="00782AD4">
        <w:rPr>
          <w:rFonts w:ascii="Helvetica" w:eastAsia="Times New Roman" w:hAnsi="Helvetica" w:cs="Times New Roman"/>
          <w:color w:val="333333"/>
        </w:rPr>
        <w:t>, we included all of the potential mediators simultaneously and considered the </w:t>
      </w:r>
      <w:r w:rsidRPr="00782AD4">
        <w:rPr>
          <w:rFonts w:ascii="Helvetica" w:eastAsia="Times New Roman" w:hAnsi="Helvetica" w:cs="Times New Roman"/>
          <w:b/>
          <w:bCs/>
          <w:color w:val="333333"/>
          <w:bdr w:val="none" w:sz="0" w:space="0" w:color="auto" w:frame="1"/>
        </w:rPr>
        <w:t>values</w:t>
      </w:r>
      <w:r w:rsidRPr="00782AD4">
        <w:rPr>
          <w:rFonts w:ascii="Helvetica" w:eastAsia="Times New Roman" w:hAnsi="Helvetica" w:cs="Times New Roman"/>
          <w:color w:val="333333"/>
        </w:rPr>
        <w:t> and significance of their indirect effects. We also compared the indirect effects with the direct effects (Table 5).</w:t>
      </w:r>
    </w:p>
    <w:p w14:paraId="341974A2"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Analysis and Comparison of Direct and Indirect Effects</w:t>
      </w:r>
    </w:p>
    <w:tbl>
      <w:tblPr>
        <w:tblW w:w="0" w:type="auto"/>
        <w:tblCellMar>
          <w:left w:w="0" w:type="dxa"/>
          <w:right w:w="0" w:type="dxa"/>
        </w:tblCellMar>
        <w:tblLook w:val="04A0" w:firstRow="1" w:lastRow="0" w:firstColumn="1" w:lastColumn="0" w:noHBand="0" w:noVBand="1"/>
      </w:tblPr>
      <w:tblGrid>
        <w:gridCol w:w="867"/>
        <w:gridCol w:w="240"/>
        <w:gridCol w:w="920"/>
        <w:gridCol w:w="1241"/>
        <w:gridCol w:w="1401"/>
        <w:gridCol w:w="808"/>
        <w:gridCol w:w="1308"/>
        <w:gridCol w:w="2508"/>
      </w:tblGrid>
      <w:tr w:rsidR="00782AD4" w:rsidRPr="00782AD4" w14:paraId="06F15A68" w14:textId="77777777" w:rsidTr="00782AD4">
        <w:tc>
          <w:tcPr>
            <w:tcW w:w="0" w:type="auto"/>
            <w:gridSpan w:val="3"/>
            <w:tcBorders>
              <w:top w:val="nil"/>
              <w:left w:val="nil"/>
              <w:bottom w:val="nil"/>
              <w:right w:val="nil"/>
            </w:tcBorders>
            <w:shd w:val="clear" w:color="auto" w:fill="auto"/>
            <w:vAlign w:val="bottom"/>
            <w:hideMark/>
          </w:tcPr>
          <w:p w14:paraId="4F9C2BD0"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Capability Path</w:t>
            </w:r>
          </w:p>
        </w:tc>
        <w:tc>
          <w:tcPr>
            <w:tcW w:w="0" w:type="auto"/>
            <w:tcBorders>
              <w:top w:val="nil"/>
              <w:left w:val="nil"/>
              <w:bottom w:val="nil"/>
              <w:right w:val="nil"/>
            </w:tcBorders>
            <w:shd w:val="clear" w:color="auto" w:fill="auto"/>
            <w:vAlign w:val="bottom"/>
            <w:hideMark/>
          </w:tcPr>
          <w:p w14:paraId="3549B6E9"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DirectEffect</w:t>
            </w:r>
          </w:p>
        </w:tc>
        <w:tc>
          <w:tcPr>
            <w:tcW w:w="0" w:type="auto"/>
            <w:tcBorders>
              <w:top w:val="nil"/>
              <w:left w:val="nil"/>
              <w:bottom w:val="nil"/>
              <w:right w:val="nil"/>
            </w:tcBorders>
            <w:shd w:val="clear" w:color="auto" w:fill="auto"/>
            <w:vAlign w:val="bottom"/>
            <w:hideMark/>
          </w:tcPr>
          <w:p w14:paraId="67FAD525"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IndirectEffect</w:t>
            </w:r>
          </w:p>
        </w:tc>
        <w:tc>
          <w:tcPr>
            <w:tcW w:w="0" w:type="auto"/>
            <w:tcBorders>
              <w:top w:val="nil"/>
              <w:left w:val="nil"/>
              <w:bottom w:val="nil"/>
              <w:right w:val="nil"/>
            </w:tcBorders>
            <w:shd w:val="clear" w:color="auto" w:fill="auto"/>
            <w:vAlign w:val="bottom"/>
            <w:hideMark/>
          </w:tcPr>
          <w:p w14:paraId="1CCFD7BE"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Signif</w:t>
            </w:r>
          </w:p>
        </w:tc>
        <w:tc>
          <w:tcPr>
            <w:tcW w:w="0" w:type="auto"/>
            <w:tcBorders>
              <w:top w:val="nil"/>
              <w:left w:val="nil"/>
              <w:bottom w:val="nil"/>
              <w:right w:val="nil"/>
            </w:tcBorders>
            <w:shd w:val="clear" w:color="auto" w:fill="auto"/>
            <w:vAlign w:val="bottom"/>
            <w:hideMark/>
          </w:tcPr>
          <w:p w14:paraId="6C944BB1"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LargerEffect</w:t>
            </w:r>
          </w:p>
        </w:tc>
        <w:tc>
          <w:tcPr>
            <w:tcW w:w="0" w:type="auto"/>
            <w:tcBorders>
              <w:top w:val="nil"/>
              <w:left w:val="nil"/>
              <w:bottom w:val="nil"/>
              <w:right w:val="nil"/>
            </w:tcBorders>
            <w:shd w:val="clear" w:color="auto" w:fill="auto"/>
            <w:vAlign w:val="bottom"/>
            <w:hideMark/>
          </w:tcPr>
          <w:p w14:paraId="1028C3EF"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Mediation?</w:t>
            </w:r>
          </w:p>
        </w:tc>
      </w:tr>
      <w:tr w:rsidR="00782AD4" w:rsidRPr="00782AD4" w14:paraId="006FCE60" w14:textId="77777777" w:rsidTr="00782AD4">
        <w:tc>
          <w:tcPr>
            <w:tcW w:w="0" w:type="auto"/>
            <w:tcBorders>
              <w:top w:val="nil"/>
              <w:left w:val="nil"/>
              <w:bottom w:val="nil"/>
              <w:right w:val="nil"/>
            </w:tcBorders>
            <w:shd w:val="clear" w:color="auto" w:fill="auto"/>
            <w:vAlign w:val="bottom"/>
            <w:hideMark/>
          </w:tcPr>
          <w:p w14:paraId="7425EC3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CTC</w:t>
            </w:r>
          </w:p>
        </w:tc>
        <w:tc>
          <w:tcPr>
            <w:tcW w:w="0" w:type="auto"/>
            <w:tcBorders>
              <w:top w:val="nil"/>
              <w:left w:val="nil"/>
              <w:bottom w:val="nil"/>
              <w:right w:val="nil"/>
            </w:tcBorders>
            <w:shd w:val="clear" w:color="auto" w:fill="auto"/>
            <w:vAlign w:val="bottom"/>
            <w:hideMark/>
          </w:tcPr>
          <w:p w14:paraId="6DE31EA4"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3D1B69B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CSPC</w:t>
            </w:r>
          </w:p>
        </w:tc>
        <w:tc>
          <w:tcPr>
            <w:tcW w:w="0" w:type="auto"/>
            <w:tcBorders>
              <w:top w:val="nil"/>
              <w:left w:val="nil"/>
              <w:bottom w:val="nil"/>
              <w:right w:val="nil"/>
            </w:tcBorders>
            <w:shd w:val="clear" w:color="auto" w:fill="auto"/>
            <w:vAlign w:val="bottom"/>
            <w:hideMark/>
          </w:tcPr>
          <w:p w14:paraId="5FB49B1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0.33</w:t>
            </w:r>
          </w:p>
        </w:tc>
        <w:tc>
          <w:tcPr>
            <w:tcW w:w="0" w:type="auto"/>
            <w:tcBorders>
              <w:top w:val="nil"/>
              <w:left w:val="nil"/>
              <w:bottom w:val="nil"/>
              <w:right w:val="nil"/>
            </w:tcBorders>
            <w:shd w:val="clear" w:color="auto" w:fill="auto"/>
            <w:vAlign w:val="bottom"/>
            <w:hideMark/>
          </w:tcPr>
          <w:p w14:paraId="2EAE2E2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0.45</w:t>
            </w:r>
          </w:p>
        </w:tc>
        <w:tc>
          <w:tcPr>
            <w:tcW w:w="0" w:type="auto"/>
            <w:tcBorders>
              <w:top w:val="nil"/>
              <w:left w:val="nil"/>
              <w:bottom w:val="nil"/>
              <w:right w:val="nil"/>
            </w:tcBorders>
            <w:shd w:val="clear" w:color="auto" w:fill="auto"/>
            <w:vAlign w:val="bottom"/>
            <w:hideMark/>
          </w:tcPr>
          <w:p w14:paraId="6B2E3B0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p&lt; 0.05</w:t>
            </w:r>
          </w:p>
        </w:tc>
        <w:tc>
          <w:tcPr>
            <w:tcW w:w="0" w:type="auto"/>
            <w:tcBorders>
              <w:top w:val="nil"/>
              <w:left w:val="nil"/>
              <w:bottom w:val="nil"/>
              <w:right w:val="nil"/>
            </w:tcBorders>
            <w:shd w:val="clear" w:color="auto" w:fill="auto"/>
            <w:vAlign w:val="bottom"/>
            <w:hideMark/>
          </w:tcPr>
          <w:p w14:paraId="679A7A3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Indirect</w:t>
            </w:r>
          </w:p>
        </w:tc>
        <w:tc>
          <w:tcPr>
            <w:tcW w:w="0" w:type="auto"/>
            <w:tcBorders>
              <w:top w:val="nil"/>
              <w:left w:val="nil"/>
              <w:bottom w:val="nil"/>
              <w:right w:val="nil"/>
            </w:tcBorders>
            <w:shd w:val="clear" w:color="auto" w:fill="auto"/>
            <w:vAlign w:val="bottom"/>
            <w:hideMark/>
          </w:tcPr>
          <w:p w14:paraId="2C4F7CB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Complementary, Partial</w:t>
            </w:r>
          </w:p>
        </w:tc>
      </w:tr>
      <w:tr w:rsidR="00782AD4" w:rsidRPr="00782AD4" w14:paraId="034A7D3A" w14:textId="77777777" w:rsidTr="00782AD4">
        <w:tc>
          <w:tcPr>
            <w:tcW w:w="0" w:type="auto"/>
            <w:tcBorders>
              <w:top w:val="nil"/>
              <w:left w:val="nil"/>
              <w:bottom w:val="nil"/>
              <w:right w:val="nil"/>
            </w:tcBorders>
            <w:shd w:val="clear" w:color="auto" w:fill="auto"/>
            <w:vAlign w:val="bottom"/>
            <w:hideMark/>
          </w:tcPr>
          <w:p w14:paraId="5C4CE93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CTC</w:t>
            </w:r>
          </w:p>
        </w:tc>
        <w:tc>
          <w:tcPr>
            <w:tcW w:w="0" w:type="auto"/>
            <w:tcBorders>
              <w:top w:val="nil"/>
              <w:left w:val="nil"/>
              <w:bottom w:val="nil"/>
              <w:right w:val="nil"/>
            </w:tcBorders>
            <w:shd w:val="clear" w:color="auto" w:fill="auto"/>
            <w:vAlign w:val="bottom"/>
            <w:hideMark/>
          </w:tcPr>
          <w:p w14:paraId="0D9B4FCE"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1A513D9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CIC</w:t>
            </w:r>
          </w:p>
        </w:tc>
        <w:tc>
          <w:tcPr>
            <w:tcW w:w="0" w:type="auto"/>
            <w:tcBorders>
              <w:top w:val="nil"/>
              <w:left w:val="nil"/>
              <w:bottom w:val="nil"/>
              <w:right w:val="nil"/>
            </w:tcBorders>
            <w:shd w:val="clear" w:color="auto" w:fill="auto"/>
            <w:vAlign w:val="bottom"/>
            <w:hideMark/>
          </w:tcPr>
          <w:p w14:paraId="39B4CD0E"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0.81</w:t>
            </w:r>
          </w:p>
        </w:tc>
        <w:tc>
          <w:tcPr>
            <w:tcW w:w="0" w:type="auto"/>
            <w:tcBorders>
              <w:top w:val="nil"/>
              <w:left w:val="nil"/>
              <w:bottom w:val="nil"/>
              <w:right w:val="nil"/>
            </w:tcBorders>
            <w:shd w:val="clear" w:color="auto" w:fill="auto"/>
            <w:vAlign w:val="bottom"/>
            <w:hideMark/>
          </w:tcPr>
          <w:p w14:paraId="682B6DF2"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6525D147"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76DA6E0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Direct</w:t>
            </w:r>
          </w:p>
        </w:tc>
        <w:tc>
          <w:tcPr>
            <w:tcW w:w="0" w:type="auto"/>
            <w:tcBorders>
              <w:top w:val="nil"/>
              <w:left w:val="nil"/>
              <w:bottom w:val="nil"/>
              <w:right w:val="nil"/>
            </w:tcBorders>
            <w:shd w:val="clear" w:color="auto" w:fill="auto"/>
            <w:vAlign w:val="bottom"/>
            <w:hideMark/>
          </w:tcPr>
          <w:p w14:paraId="34BAF4B4"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r>
      <w:tr w:rsidR="00782AD4" w:rsidRPr="00782AD4" w14:paraId="344D96BC" w14:textId="77777777" w:rsidTr="00782AD4">
        <w:tc>
          <w:tcPr>
            <w:tcW w:w="0" w:type="auto"/>
            <w:tcBorders>
              <w:top w:val="nil"/>
              <w:left w:val="nil"/>
              <w:bottom w:val="nil"/>
              <w:right w:val="nil"/>
            </w:tcBorders>
            <w:shd w:val="clear" w:color="auto" w:fill="auto"/>
            <w:vAlign w:val="bottom"/>
            <w:hideMark/>
          </w:tcPr>
          <w:p w14:paraId="5BB2D9C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CTC</w:t>
            </w:r>
          </w:p>
        </w:tc>
        <w:tc>
          <w:tcPr>
            <w:tcW w:w="0" w:type="auto"/>
            <w:tcBorders>
              <w:top w:val="nil"/>
              <w:left w:val="nil"/>
              <w:bottom w:val="nil"/>
              <w:right w:val="nil"/>
            </w:tcBorders>
            <w:shd w:val="clear" w:color="auto" w:fill="auto"/>
            <w:vAlign w:val="bottom"/>
            <w:hideMark/>
          </w:tcPr>
          <w:p w14:paraId="7758D073"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2541CEF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BusFlex</w:t>
            </w:r>
          </w:p>
        </w:tc>
        <w:tc>
          <w:tcPr>
            <w:tcW w:w="0" w:type="auto"/>
            <w:tcBorders>
              <w:top w:val="nil"/>
              <w:left w:val="nil"/>
              <w:bottom w:val="nil"/>
              <w:right w:val="nil"/>
            </w:tcBorders>
            <w:shd w:val="clear" w:color="auto" w:fill="auto"/>
            <w:vAlign w:val="bottom"/>
            <w:hideMark/>
          </w:tcPr>
          <w:p w14:paraId="68AE28C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0.26</w:t>
            </w:r>
          </w:p>
        </w:tc>
        <w:tc>
          <w:tcPr>
            <w:tcW w:w="0" w:type="auto"/>
            <w:tcBorders>
              <w:top w:val="nil"/>
              <w:left w:val="nil"/>
              <w:bottom w:val="nil"/>
              <w:right w:val="nil"/>
            </w:tcBorders>
            <w:shd w:val="clear" w:color="auto" w:fill="auto"/>
            <w:vAlign w:val="bottom"/>
            <w:hideMark/>
          </w:tcPr>
          <w:p w14:paraId="7C5E6F7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0.73</w:t>
            </w:r>
          </w:p>
        </w:tc>
        <w:tc>
          <w:tcPr>
            <w:tcW w:w="0" w:type="auto"/>
            <w:tcBorders>
              <w:top w:val="nil"/>
              <w:left w:val="nil"/>
              <w:bottom w:val="nil"/>
              <w:right w:val="nil"/>
            </w:tcBorders>
            <w:shd w:val="clear" w:color="auto" w:fill="auto"/>
            <w:vAlign w:val="bottom"/>
            <w:hideMark/>
          </w:tcPr>
          <w:p w14:paraId="4DE6418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p&lt; 0.05</w:t>
            </w:r>
          </w:p>
        </w:tc>
        <w:tc>
          <w:tcPr>
            <w:tcW w:w="0" w:type="auto"/>
            <w:tcBorders>
              <w:top w:val="nil"/>
              <w:left w:val="nil"/>
              <w:bottom w:val="nil"/>
              <w:right w:val="nil"/>
            </w:tcBorders>
            <w:shd w:val="clear" w:color="auto" w:fill="auto"/>
            <w:vAlign w:val="bottom"/>
            <w:hideMark/>
          </w:tcPr>
          <w:p w14:paraId="156BCAA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Indirect</w:t>
            </w:r>
          </w:p>
        </w:tc>
        <w:tc>
          <w:tcPr>
            <w:tcW w:w="0" w:type="auto"/>
            <w:tcBorders>
              <w:top w:val="nil"/>
              <w:left w:val="nil"/>
              <w:bottom w:val="nil"/>
              <w:right w:val="nil"/>
            </w:tcBorders>
            <w:shd w:val="clear" w:color="auto" w:fill="auto"/>
            <w:vAlign w:val="bottom"/>
            <w:hideMark/>
          </w:tcPr>
          <w:p w14:paraId="634A4BD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Complementary, Partial</w:t>
            </w:r>
          </w:p>
        </w:tc>
      </w:tr>
      <w:tr w:rsidR="00782AD4" w:rsidRPr="00782AD4" w14:paraId="10C2D7D2" w14:textId="77777777" w:rsidTr="00782AD4">
        <w:tc>
          <w:tcPr>
            <w:tcW w:w="0" w:type="auto"/>
            <w:tcBorders>
              <w:top w:val="nil"/>
              <w:left w:val="nil"/>
              <w:bottom w:val="nil"/>
              <w:right w:val="nil"/>
            </w:tcBorders>
            <w:shd w:val="clear" w:color="auto" w:fill="auto"/>
            <w:vAlign w:val="bottom"/>
            <w:hideMark/>
          </w:tcPr>
          <w:p w14:paraId="1F9C734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CTC</w:t>
            </w:r>
          </w:p>
        </w:tc>
        <w:tc>
          <w:tcPr>
            <w:tcW w:w="0" w:type="auto"/>
            <w:tcBorders>
              <w:top w:val="nil"/>
              <w:left w:val="nil"/>
              <w:bottom w:val="nil"/>
              <w:right w:val="nil"/>
            </w:tcBorders>
            <w:shd w:val="clear" w:color="auto" w:fill="auto"/>
            <w:vAlign w:val="bottom"/>
            <w:hideMark/>
          </w:tcPr>
          <w:p w14:paraId="4FFF417C"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0E8011F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FirmPerf</w:t>
            </w:r>
          </w:p>
        </w:tc>
        <w:tc>
          <w:tcPr>
            <w:tcW w:w="0" w:type="auto"/>
            <w:tcBorders>
              <w:top w:val="nil"/>
              <w:left w:val="nil"/>
              <w:bottom w:val="nil"/>
              <w:right w:val="nil"/>
            </w:tcBorders>
            <w:shd w:val="clear" w:color="auto" w:fill="auto"/>
            <w:vAlign w:val="bottom"/>
            <w:hideMark/>
          </w:tcPr>
          <w:p w14:paraId="623DAAA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0.26</w:t>
            </w:r>
          </w:p>
        </w:tc>
        <w:tc>
          <w:tcPr>
            <w:tcW w:w="0" w:type="auto"/>
            <w:tcBorders>
              <w:top w:val="nil"/>
              <w:left w:val="nil"/>
              <w:bottom w:val="nil"/>
              <w:right w:val="nil"/>
            </w:tcBorders>
            <w:shd w:val="clear" w:color="auto" w:fill="auto"/>
            <w:vAlign w:val="bottom"/>
            <w:hideMark/>
          </w:tcPr>
          <w:p w14:paraId="72C8FA3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0.66</w:t>
            </w:r>
          </w:p>
        </w:tc>
        <w:tc>
          <w:tcPr>
            <w:tcW w:w="0" w:type="auto"/>
            <w:tcBorders>
              <w:top w:val="nil"/>
              <w:left w:val="nil"/>
              <w:bottom w:val="nil"/>
              <w:right w:val="nil"/>
            </w:tcBorders>
            <w:shd w:val="clear" w:color="auto" w:fill="auto"/>
            <w:vAlign w:val="bottom"/>
            <w:hideMark/>
          </w:tcPr>
          <w:p w14:paraId="23352F7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p&lt; 0.05</w:t>
            </w:r>
          </w:p>
        </w:tc>
        <w:tc>
          <w:tcPr>
            <w:tcW w:w="0" w:type="auto"/>
            <w:tcBorders>
              <w:top w:val="nil"/>
              <w:left w:val="nil"/>
              <w:bottom w:val="nil"/>
              <w:right w:val="nil"/>
            </w:tcBorders>
            <w:shd w:val="clear" w:color="auto" w:fill="auto"/>
            <w:vAlign w:val="bottom"/>
            <w:hideMark/>
          </w:tcPr>
          <w:p w14:paraId="4A6A7CF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Indirect</w:t>
            </w:r>
          </w:p>
        </w:tc>
        <w:tc>
          <w:tcPr>
            <w:tcW w:w="0" w:type="auto"/>
            <w:tcBorders>
              <w:top w:val="nil"/>
              <w:left w:val="nil"/>
              <w:bottom w:val="nil"/>
              <w:right w:val="nil"/>
            </w:tcBorders>
            <w:shd w:val="clear" w:color="auto" w:fill="auto"/>
            <w:vAlign w:val="bottom"/>
            <w:hideMark/>
          </w:tcPr>
          <w:p w14:paraId="7249B57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Complementary, Partial</w:t>
            </w:r>
          </w:p>
        </w:tc>
      </w:tr>
      <w:tr w:rsidR="00782AD4" w:rsidRPr="00782AD4" w14:paraId="0BEE384E" w14:textId="77777777" w:rsidTr="00782AD4">
        <w:tc>
          <w:tcPr>
            <w:tcW w:w="0" w:type="auto"/>
            <w:tcBorders>
              <w:top w:val="nil"/>
              <w:left w:val="nil"/>
              <w:bottom w:val="nil"/>
              <w:right w:val="nil"/>
            </w:tcBorders>
            <w:shd w:val="clear" w:color="auto" w:fill="auto"/>
            <w:vAlign w:val="bottom"/>
            <w:hideMark/>
          </w:tcPr>
          <w:p w14:paraId="1DDE3B1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CIC</w:t>
            </w:r>
          </w:p>
        </w:tc>
        <w:tc>
          <w:tcPr>
            <w:tcW w:w="0" w:type="auto"/>
            <w:tcBorders>
              <w:top w:val="nil"/>
              <w:left w:val="nil"/>
              <w:bottom w:val="nil"/>
              <w:right w:val="nil"/>
            </w:tcBorders>
            <w:shd w:val="clear" w:color="auto" w:fill="auto"/>
            <w:vAlign w:val="bottom"/>
            <w:hideMark/>
          </w:tcPr>
          <w:p w14:paraId="718D330C"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50EC49D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CSPC</w:t>
            </w:r>
          </w:p>
        </w:tc>
        <w:tc>
          <w:tcPr>
            <w:tcW w:w="0" w:type="auto"/>
            <w:tcBorders>
              <w:top w:val="nil"/>
              <w:left w:val="nil"/>
              <w:bottom w:val="nil"/>
              <w:right w:val="nil"/>
            </w:tcBorders>
            <w:shd w:val="clear" w:color="auto" w:fill="auto"/>
            <w:vAlign w:val="bottom"/>
            <w:hideMark/>
          </w:tcPr>
          <w:p w14:paraId="13D8DDE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0.56</w:t>
            </w:r>
          </w:p>
        </w:tc>
        <w:tc>
          <w:tcPr>
            <w:tcW w:w="0" w:type="auto"/>
            <w:tcBorders>
              <w:top w:val="nil"/>
              <w:left w:val="nil"/>
              <w:bottom w:val="nil"/>
              <w:right w:val="nil"/>
            </w:tcBorders>
            <w:shd w:val="clear" w:color="auto" w:fill="auto"/>
            <w:vAlign w:val="bottom"/>
            <w:hideMark/>
          </w:tcPr>
          <w:p w14:paraId="01C49306"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6D490CF1"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2682697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Direct</w:t>
            </w:r>
          </w:p>
        </w:tc>
        <w:tc>
          <w:tcPr>
            <w:tcW w:w="0" w:type="auto"/>
            <w:tcBorders>
              <w:top w:val="nil"/>
              <w:left w:val="nil"/>
              <w:bottom w:val="nil"/>
              <w:right w:val="nil"/>
            </w:tcBorders>
            <w:shd w:val="clear" w:color="auto" w:fill="auto"/>
            <w:vAlign w:val="bottom"/>
            <w:hideMark/>
          </w:tcPr>
          <w:p w14:paraId="741605ED"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r>
      <w:tr w:rsidR="00782AD4" w:rsidRPr="00782AD4" w14:paraId="17EC974B" w14:textId="77777777" w:rsidTr="00782AD4">
        <w:tc>
          <w:tcPr>
            <w:tcW w:w="0" w:type="auto"/>
            <w:tcBorders>
              <w:top w:val="nil"/>
              <w:left w:val="nil"/>
              <w:bottom w:val="nil"/>
              <w:right w:val="nil"/>
            </w:tcBorders>
            <w:shd w:val="clear" w:color="auto" w:fill="auto"/>
            <w:vAlign w:val="bottom"/>
            <w:hideMark/>
          </w:tcPr>
          <w:p w14:paraId="4CF2CEB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CIC</w:t>
            </w:r>
          </w:p>
        </w:tc>
        <w:tc>
          <w:tcPr>
            <w:tcW w:w="0" w:type="auto"/>
            <w:tcBorders>
              <w:top w:val="nil"/>
              <w:left w:val="nil"/>
              <w:bottom w:val="nil"/>
              <w:right w:val="nil"/>
            </w:tcBorders>
            <w:shd w:val="clear" w:color="auto" w:fill="auto"/>
            <w:vAlign w:val="bottom"/>
            <w:hideMark/>
          </w:tcPr>
          <w:p w14:paraId="19F04BA6"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3292CFA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BusFlex</w:t>
            </w:r>
          </w:p>
        </w:tc>
        <w:tc>
          <w:tcPr>
            <w:tcW w:w="0" w:type="auto"/>
            <w:tcBorders>
              <w:top w:val="nil"/>
              <w:left w:val="nil"/>
              <w:bottom w:val="nil"/>
              <w:right w:val="nil"/>
            </w:tcBorders>
            <w:shd w:val="clear" w:color="auto" w:fill="auto"/>
            <w:vAlign w:val="bottom"/>
            <w:hideMark/>
          </w:tcPr>
          <w:p w14:paraId="453459C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0.37</w:t>
            </w:r>
          </w:p>
        </w:tc>
        <w:tc>
          <w:tcPr>
            <w:tcW w:w="0" w:type="auto"/>
            <w:tcBorders>
              <w:top w:val="nil"/>
              <w:left w:val="nil"/>
              <w:bottom w:val="nil"/>
              <w:right w:val="nil"/>
            </w:tcBorders>
            <w:shd w:val="clear" w:color="auto" w:fill="auto"/>
            <w:vAlign w:val="bottom"/>
            <w:hideMark/>
          </w:tcPr>
          <w:p w14:paraId="0464548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0.31</w:t>
            </w:r>
          </w:p>
        </w:tc>
        <w:tc>
          <w:tcPr>
            <w:tcW w:w="0" w:type="auto"/>
            <w:tcBorders>
              <w:top w:val="nil"/>
              <w:left w:val="nil"/>
              <w:bottom w:val="nil"/>
              <w:right w:val="nil"/>
            </w:tcBorders>
            <w:shd w:val="clear" w:color="auto" w:fill="auto"/>
            <w:vAlign w:val="bottom"/>
            <w:hideMark/>
          </w:tcPr>
          <w:p w14:paraId="180A70FE"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p&lt; 0.05</w:t>
            </w:r>
          </w:p>
        </w:tc>
        <w:tc>
          <w:tcPr>
            <w:tcW w:w="0" w:type="auto"/>
            <w:tcBorders>
              <w:top w:val="nil"/>
              <w:left w:val="nil"/>
              <w:bottom w:val="nil"/>
              <w:right w:val="nil"/>
            </w:tcBorders>
            <w:shd w:val="clear" w:color="auto" w:fill="auto"/>
            <w:vAlign w:val="bottom"/>
            <w:hideMark/>
          </w:tcPr>
          <w:p w14:paraId="639D867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Equal</w:t>
            </w:r>
          </w:p>
        </w:tc>
        <w:tc>
          <w:tcPr>
            <w:tcW w:w="0" w:type="auto"/>
            <w:tcBorders>
              <w:top w:val="nil"/>
              <w:left w:val="nil"/>
              <w:bottom w:val="nil"/>
              <w:right w:val="nil"/>
            </w:tcBorders>
            <w:shd w:val="clear" w:color="auto" w:fill="auto"/>
            <w:vAlign w:val="bottom"/>
            <w:hideMark/>
          </w:tcPr>
          <w:p w14:paraId="2D3CFE1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Complementary, Partial</w:t>
            </w:r>
          </w:p>
        </w:tc>
      </w:tr>
      <w:tr w:rsidR="00782AD4" w:rsidRPr="00782AD4" w14:paraId="6977B76A" w14:textId="77777777" w:rsidTr="00782AD4">
        <w:tc>
          <w:tcPr>
            <w:tcW w:w="0" w:type="auto"/>
            <w:tcBorders>
              <w:top w:val="nil"/>
              <w:left w:val="nil"/>
              <w:bottom w:val="nil"/>
              <w:right w:val="nil"/>
            </w:tcBorders>
            <w:shd w:val="clear" w:color="auto" w:fill="auto"/>
            <w:vAlign w:val="bottom"/>
            <w:hideMark/>
          </w:tcPr>
          <w:p w14:paraId="6A74D10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CIC</w:t>
            </w:r>
          </w:p>
        </w:tc>
        <w:tc>
          <w:tcPr>
            <w:tcW w:w="0" w:type="auto"/>
            <w:tcBorders>
              <w:top w:val="nil"/>
              <w:left w:val="nil"/>
              <w:bottom w:val="nil"/>
              <w:right w:val="nil"/>
            </w:tcBorders>
            <w:shd w:val="clear" w:color="auto" w:fill="auto"/>
            <w:vAlign w:val="bottom"/>
            <w:hideMark/>
          </w:tcPr>
          <w:p w14:paraId="1E8460B3"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577E745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FirmPerf</w:t>
            </w:r>
          </w:p>
        </w:tc>
        <w:tc>
          <w:tcPr>
            <w:tcW w:w="0" w:type="auto"/>
            <w:tcBorders>
              <w:top w:val="nil"/>
              <w:left w:val="nil"/>
              <w:bottom w:val="nil"/>
              <w:right w:val="nil"/>
            </w:tcBorders>
            <w:shd w:val="clear" w:color="auto" w:fill="auto"/>
            <w:vAlign w:val="bottom"/>
            <w:hideMark/>
          </w:tcPr>
          <w:p w14:paraId="2942FC9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0.31</w:t>
            </w:r>
          </w:p>
        </w:tc>
        <w:tc>
          <w:tcPr>
            <w:tcW w:w="0" w:type="auto"/>
            <w:tcBorders>
              <w:top w:val="nil"/>
              <w:left w:val="nil"/>
              <w:bottom w:val="nil"/>
              <w:right w:val="nil"/>
            </w:tcBorders>
            <w:shd w:val="clear" w:color="auto" w:fill="auto"/>
            <w:vAlign w:val="bottom"/>
            <w:hideMark/>
          </w:tcPr>
          <w:p w14:paraId="09E1CAE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0.31</w:t>
            </w:r>
          </w:p>
        </w:tc>
        <w:tc>
          <w:tcPr>
            <w:tcW w:w="0" w:type="auto"/>
            <w:tcBorders>
              <w:top w:val="nil"/>
              <w:left w:val="nil"/>
              <w:bottom w:val="nil"/>
              <w:right w:val="nil"/>
            </w:tcBorders>
            <w:shd w:val="clear" w:color="auto" w:fill="auto"/>
            <w:vAlign w:val="bottom"/>
            <w:hideMark/>
          </w:tcPr>
          <w:p w14:paraId="3632F9A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p&lt; 0.05</w:t>
            </w:r>
          </w:p>
        </w:tc>
        <w:tc>
          <w:tcPr>
            <w:tcW w:w="0" w:type="auto"/>
            <w:tcBorders>
              <w:top w:val="nil"/>
              <w:left w:val="nil"/>
              <w:bottom w:val="nil"/>
              <w:right w:val="nil"/>
            </w:tcBorders>
            <w:shd w:val="clear" w:color="auto" w:fill="auto"/>
            <w:vAlign w:val="bottom"/>
            <w:hideMark/>
          </w:tcPr>
          <w:p w14:paraId="5C9F884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Equal</w:t>
            </w:r>
          </w:p>
        </w:tc>
        <w:tc>
          <w:tcPr>
            <w:tcW w:w="0" w:type="auto"/>
            <w:tcBorders>
              <w:top w:val="nil"/>
              <w:left w:val="nil"/>
              <w:bottom w:val="nil"/>
              <w:right w:val="nil"/>
            </w:tcBorders>
            <w:shd w:val="clear" w:color="auto" w:fill="auto"/>
            <w:vAlign w:val="bottom"/>
            <w:hideMark/>
          </w:tcPr>
          <w:p w14:paraId="6F3BF01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Complementary, Partial</w:t>
            </w:r>
          </w:p>
        </w:tc>
      </w:tr>
      <w:tr w:rsidR="00782AD4" w:rsidRPr="00782AD4" w14:paraId="54D86589" w14:textId="77777777" w:rsidTr="00782AD4">
        <w:tc>
          <w:tcPr>
            <w:tcW w:w="0" w:type="auto"/>
            <w:tcBorders>
              <w:top w:val="nil"/>
              <w:left w:val="nil"/>
              <w:bottom w:val="nil"/>
              <w:right w:val="nil"/>
            </w:tcBorders>
            <w:shd w:val="clear" w:color="auto" w:fill="auto"/>
            <w:vAlign w:val="bottom"/>
            <w:hideMark/>
          </w:tcPr>
          <w:p w14:paraId="30C45BE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CSPC</w:t>
            </w:r>
          </w:p>
        </w:tc>
        <w:tc>
          <w:tcPr>
            <w:tcW w:w="0" w:type="auto"/>
            <w:tcBorders>
              <w:top w:val="nil"/>
              <w:left w:val="nil"/>
              <w:bottom w:val="nil"/>
              <w:right w:val="nil"/>
            </w:tcBorders>
            <w:shd w:val="clear" w:color="auto" w:fill="auto"/>
            <w:vAlign w:val="bottom"/>
            <w:hideMark/>
          </w:tcPr>
          <w:p w14:paraId="7806E3E4"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3B61916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BusFlex</w:t>
            </w:r>
          </w:p>
        </w:tc>
        <w:tc>
          <w:tcPr>
            <w:tcW w:w="0" w:type="auto"/>
            <w:tcBorders>
              <w:top w:val="nil"/>
              <w:left w:val="nil"/>
              <w:bottom w:val="nil"/>
              <w:right w:val="nil"/>
            </w:tcBorders>
            <w:shd w:val="clear" w:color="auto" w:fill="auto"/>
            <w:vAlign w:val="bottom"/>
            <w:hideMark/>
          </w:tcPr>
          <w:p w14:paraId="2913BB5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0.55</w:t>
            </w:r>
          </w:p>
        </w:tc>
        <w:tc>
          <w:tcPr>
            <w:tcW w:w="0" w:type="auto"/>
            <w:tcBorders>
              <w:top w:val="nil"/>
              <w:left w:val="nil"/>
              <w:bottom w:val="nil"/>
              <w:right w:val="nil"/>
            </w:tcBorders>
            <w:shd w:val="clear" w:color="auto" w:fill="auto"/>
            <w:vAlign w:val="bottom"/>
            <w:hideMark/>
          </w:tcPr>
          <w:p w14:paraId="7507B94C"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445C82A2"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2C0C5B9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Direct</w:t>
            </w:r>
          </w:p>
        </w:tc>
        <w:tc>
          <w:tcPr>
            <w:tcW w:w="0" w:type="auto"/>
            <w:tcBorders>
              <w:top w:val="nil"/>
              <w:left w:val="nil"/>
              <w:bottom w:val="nil"/>
              <w:right w:val="nil"/>
            </w:tcBorders>
            <w:shd w:val="clear" w:color="auto" w:fill="auto"/>
            <w:vAlign w:val="bottom"/>
            <w:hideMark/>
          </w:tcPr>
          <w:p w14:paraId="7122886B"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r>
      <w:tr w:rsidR="00782AD4" w:rsidRPr="00782AD4" w14:paraId="0D7207BF" w14:textId="77777777" w:rsidTr="00782AD4">
        <w:tc>
          <w:tcPr>
            <w:tcW w:w="0" w:type="auto"/>
            <w:tcBorders>
              <w:top w:val="nil"/>
              <w:left w:val="nil"/>
              <w:bottom w:val="nil"/>
              <w:right w:val="nil"/>
            </w:tcBorders>
            <w:shd w:val="clear" w:color="auto" w:fill="auto"/>
            <w:vAlign w:val="bottom"/>
            <w:hideMark/>
          </w:tcPr>
          <w:p w14:paraId="0CBC0B9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lastRenderedPageBreak/>
              <w:t>CSPC</w:t>
            </w:r>
          </w:p>
        </w:tc>
        <w:tc>
          <w:tcPr>
            <w:tcW w:w="0" w:type="auto"/>
            <w:tcBorders>
              <w:top w:val="nil"/>
              <w:left w:val="nil"/>
              <w:bottom w:val="nil"/>
              <w:right w:val="nil"/>
            </w:tcBorders>
            <w:shd w:val="clear" w:color="auto" w:fill="auto"/>
            <w:vAlign w:val="bottom"/>
            <w:hideMark/>
          </w:tcPr>
          <w:p w14:paraId="25148881"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1FC573A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FirmPerf</w:t>
            </w:r>
          </w:p>
        </w:tc>
        <w:tc>
          <w:tcPr>
            <w:tcW w:w="0" w:type="auto"/>
            <w:tcBorders>
              <w:top w:val="nil"/>
              <w:left w:val="nil"/>
              <w:bottom w:val="nil"/>
              <w:right w:val="nil"/>
            </w:tcBorders>
            <w:shd w:val="clear" w:color="auto" w:fill="auto"/>
            <w:vAlign w:val="bottom"/>
            <w:hideMark/>
          </w:tcPr>
          <w:p w14:paraId="74F2059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0.39</w:t>
            </w:r>
          </w:p>
        </w:tc>
        <w:tc>
          <w:tcPr>
            <w:tcW w:w="0" w:type="auto"/>
            <w:tcBorders>
              <w:top w:val="nil"/>
              <w:left w:val="nil"/>
              <w:bottom w:val="nil"/>
              <w:right w:val="nil"/>
            </w:tcBorders>
            <w:shd w:val="clear" w:color="auto" w:fill="auto"/>
            <w:vAlign w:val="bottom"/>
            <w:hideMark/>
          </w:tcPr>
          <w:p w14:paraId="03CD2F6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0.08</w:t>
            </w:r>
          </w:p>
        </w:tc>
        <w:tc>
          <w:tcPr>
            <w:tcW w:w="0" w:type="auto"/>
            <w:tcBorders>
              <w:top w:val="nil"/>
              <w:left w:val="nil"/>
              <w:bottom w:val="nil"/>
              <w:right w:val="nil"/>
            </w:tcBorders>
            <w:shd w:val="clear" w:color="auto" w:fill="auto"/>
            <w:vAlign w:val="bottom"/>
            <w:hideMark/>
          </w:tcPr>
          <w:p w14:paraId="719F2E4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p&lt; 0.10</w:t>
            </w:r>
          </w:p>
        </w:tc>
        <w:tc>
          <w:tcPr>
            <w:tcW w:w="0" w:type="auto"/>
            <w:tcBorders>
              <w:top w:val="nil"/>
              <w:left w:val="nil"/>
              <w:bottom w:val="nil"/>
              <w:right w:val="nil"/>
            </w:tcBorders>
            <w:shd w:val="clear" w:color="auto" w:fill="auto"/>
            <w:vAlign w:val="bottom"/>
            <w:hideMark/>
          </w:tcPr>
          <w:p w14:paraId="02BFEAD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Direct</w:t>
            </w:r>
          </w:p>
        </w:tc>
        <w:tc>
          <w:tcPr>
            <w:tcW w:w="0" w:type="auto"/>
            <w:tcBorders>
              <w:top w:val="nil"/>
              <w:left w:val="nil"/>
              <w:bottom w:val="nil"/>
              <w:right w:val="nil"/>
            </w:tcBorders>
            <w:shd w:val="clear" w:color="auto" w:fill="auto"/>
            <w:vAlign w:val="bottom"/>
            <w:hideMark/>
          </w:tcPr>
          <w:p w14:paraId="17A0C35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Complementary, Partial</w:t>
            </w:r>
          </w:p>
        </w:tc>
      </w:tr>
      <w:tr w:rsidR="00782AD4" w:rsidRPr="00782AD4" w14:paraId="3CE8A86B" w14:textId="77777777" w:rsidTr="00782AD4">
        <w:tc>
          <w:tcPr>
            <w:tcW w:w="0" w:type="auto"/>
            <w:tcBorders>
              <w:top w:val="nil"/>
              <w:left w:val="nil"/>
              <w:bottom w:val="nil"/>
              <w:right w:val="nil"/>
            </w:tcBorders>
            <w:shd w:val="clear" w:color="auto" w:fill="auto"/>
            <w:vAlign w:val="bottom"/>
            <w:hideMark/>
          </w:tcPr>
          <w:p w14:paraId="6A9FE48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BusFlex</w:t>
            </w:r>
          </w:p>
        </w:tc>
        <w:tc>
          <w:tcPr>
            <w:tcW w:w="0" w:type="auto"/>
            <w:tcBorders>
              <w:top w:val="nil"/>
              <w:left w:val="nil"/>
              <w:bottom w:val="nil"/>
              <w:right w:val="nil"/>
            </w:tcBorders>
            <w:shd w:val="clear" w:color="auto" w:fill="auto"/>
            <w:vAlign w:val="bottom"/>
            <w:hideMark/>
          </w:tcPr>
          <w:p w14:paraId="130F0D73" w14:textId="77777777" w:rsidR="00782AD4" w:rsidRPr="00782AD4" w:rsidRDefault="00782AD4" w:rsidP="00782AD4">
            <w:pPr>
              <w:rPr>
                <w:rFonts w:ascii="Helvetica" w:eastAsia="Times New Roman" w:hAnsi="Helvetica" w:cs="Times New Roman"/>
                <w:color w:val="333333"/>
              </w:rPr>
            </w:pPr>
            <w:r w:rsidRPr="00782AD4">
              <w:rPr>
                <w:rFonts w:ascii="Times New Roman" w:eastAsia="Times New Roman" w:hAnsi="Times New Roman" w:cs="Times New Roman"/>
                <w:color w:val="333333"/>
              </w:rPr>
              <w:t>→</w:t>
            </w:r>
          </w:p>
        </w:tc>
        <w:tc>
          <w:tcPr>
            <w:tcW w:w="0" w:type="auto"/>
            <w:tcBorders>
              <w:top w:val="nil"/>
              <w:left w:val="nil"/>
              <w:bottom w:val="nil"/>
              <w:right w:val="nil"/>
            </w:tcBorders>
            <w:shd w:val="clear" w:color="auto" w:fill="auto"/>
            <w:vAlign w:val="bottom"/>
            <w:hideMark/>
          </w:tcPr>
          <w:p w14:paraId="4383B8A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FirmPerf</w:t>
            </w:r>
          </w:p>
        </w:tc>
        <w:tc>
          <w:tcPr>
            <w:tcW w:w="0" w:type="auto"/>
            <w:tcBorders>
              <w:top w:val="nil"/>
              <w:left w:val="nil"/>
              <w:bottom w:val="nil"/>
              <w:right w:val="nil"/>
            </w:tcBorders>
            <w:shd w:val="clear" w:color="auto" w:fill="auto"/>
            <w:vAlign w:val="bottom"/>
            <w:hideMark/>
          </w:tcPr>
          <w:p w14:paraId="2F501AF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0.15</w:t>
            </w:r>
          </w:p>
        </w:tc>
        <w:tc>
          <w:tcPr>
            <w:tcW w:w="0" w:type="auto"/>
            <w:tcBorders>
              <w:top w:val="nil"/>
              <w:left w:val="nil"/>
              <w:bottom w:val="nil"/>
              <w:right w:val="nil"/>
            </w:tcBorders>
            <w:shd w:val="clear" w:color="auto" w:fill="auto"/>
            <w:vAlign w:val="bottom"/>
            <w:hideMark/>
          </w:tcPr>
          <w:p w14:paraId="2F273AF7"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0F0DE947"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23BB109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Direct</w:t>
            </w:r>
          </w:p>
        </w:tc>
        <w:tc>
          <w:tcPr>
            <w:tcW w:w="0" w:type="auto"/>
            <w:tcBorders>
              <w:top w:val="nil"/>
              <w:left w:val="nil"/>
              <w:bottom w:val="nil"/>
              <w:right w:val="nil"/>
            </w:tcBorders>
            <w:shd w:val="clear" w:color="auto" w:fill="auto"/>
            <w:vAlign w:val="bottom"/>
            <w:hideMark/>
          </w:tcPr>
          <w:p w14:paraId="5A77B1B1"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w:t>
            </w:r>
          </w:p>
        </w:tc>
      </w:tr>
    </w:tbl>
    <w:p w14:paraId="4491F7E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All mediating relationships were significant at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0.05, except for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w:t>
      </w:r>
      <w:r w:rsidRPr="00782AD4">
        <w:rPr>
          <w:rFonts w:ascii="Times New Roman" w:eastAsia="Times New Roman" w:hAnsi="Times New Roman" w:cs="Times New Roman"/>
          <w:color w:val="333333"/>
        </w:rPr>
        <w:t>→</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The direct effects of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on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were significantly smaller than the indirect effects through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thereby suggesting complementary mediation, wherein the direct and indirect effects are significant and point in the same direction [31]. This further strengthens our argument that, while firms may be able to derive some benefits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technological capability alone, the way to leverage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for firm performance lies in activating the sequential linkages identified in our model. The mediation analysis supports our finding that the path corresponding to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integration model has larger effect sizes and coefficients than others that might be constructed, which emphasizes the greater relevance of this path.</w:t>
      </w:r>
    </w:p>
    <w:p w14:paraId="2EE0030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hypotheses were supported, but the effect sizes for some linkages need inspection. The linkages for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w:t>
      </w:r>
      <w:r w:rsidRPr="00782AD4">
        <w:rPr>
          <w:rFonts w:ascii="Times New Roman" w:eastAsia="Times New Roman" w:hAnsi="Times New Roman" w:cs="Times New Roman"/>
          <w:color w:val="333333"/>
        </w:rPr>
        <w:t>→</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CIC, CIC</w:t>
      </w:r>
      <w:r w:rsidRPr="00782AD4">
        <w:rPr>
          <w:rFonts w:ascii="Helvetica" w:eastAsia="Times New Roman" w:hAnsi="Helvetica" w:cs="Times New Roman"/>
          <w:color w:val="333333"/>
        </w:rPr>
        <w:t> </w:t>
      </w:r>
      <w:r w:rsidRPr="00782AD4">
        <w:rPr>
          <w:rFonts w:ascii="Times New Roman" w:eastAsia="Times New Roman" w:hAnsi="Times New Roman" w:cs="Times New Roman"/>
          <w:color w:val="333333"/>
        </w:rPr>
        <w:t>→</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and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w:t>
      </w:r>
      <w:r w:rsidRPr="00782AD4">
        <w:rPr>
          <w:rFonts w:ascii="Times New Roman" w:eastAsia="Times New Roman" w:hAnsi="Times New Roman" w:cs="Times New Roman"/>
          <w:color w:val="333333"/>
        </w:rPr>
        <w:t>→</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had larger effect sizes. This suggests an appropriate way to leverage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technologies for firm performance lies in activating the linkages for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w:t>
      </w:r>
      <w:r w:rsidRPr="00782AD4">
        <w:rPr>
          <w:rFonts w:ascii="Times New Roman" w:eastAsia="Times New Roman" w:hAnsi="Times New Roman" w:cs="Times New Roman"/>
          <w:color w:val="333333"/>
        </w:rPr>
        <w:t>→</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w:t>
      </w:r>
      <w:r w:rsidRPr="00782AD4">
        <w:rPr>
          <w:rFonts w:ascii="Times New Roman" w:eastAsia="Times New Roman" w:hAnsi="Times New Roman" w:cs="Times New Roman"/>
          <w:color w:val="333333"/>
        </w:rPr>
        <w:t>→</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w:t>
      </w:r>
      <w:r w:rsidRPr="00782AD4">
        <w:rPr>
          <w:rFonts w:ascii="Times New Roman" w:eastAsia="Times New Roman" w:hAnsi="Times New Roman" w:cs="Times New Roman"/>
          <w:color w:val="333333"/>
        </w:rPr>
        <w:t>→</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w:t>
      </w:r>
      <w:r w:rsidRPr="00782AD4">
        <w:rPr>
          <w:rFonts w:ascii="Times New Roman" w:eastAsia="Times New Roman" w:hAnsi="Times New Roman" w:cs="Times New Roman"/>
          <w:color w:val="333333"/>
        </w:rPr>
        <w:t>→</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This is the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appropriation path</w:t>
      </w:r>
      <w:r w:rsidRPr="00782AD4">
        <w:rPr>
          <w:rFonts w:ascii="Helvetica" w:eastAsia="Times New Roman" w:hAnsi="Helvetica" w:cs="Times New Roman"/>
          <w:color w:val="333333"/>
        </w:rPr>
        <w:t> in our model.</w:t>
      </w:r>
    </w:p>
    <w:p w14:paraId="62E10087"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53" w:anchor="toc" w:tooltip="Robustness Assessment Using Orthogonalized Variables" w:history="1">
        <w:r w:rsidRPr="00782AD4">
          <w:rPr>
            <w:rFonts w:ascii="Helvetica" w:eastAsia="Times New Roman" w:hAnsi="Helvetica" w:cs="Times New Roman"/>
            <w:b/>
            <w:bCs/>
            <w:color w:val="005BC6"/>
            <w:bdr w:val="none" w:sz="0" w:space="0" w:color="auto" w:frame="1"/>
          </w:rPr>
          <w:t>Robustness Assessment Using Orthogonalized Variables</w:t>
        </w:r>
      </w:hyperlink>
    </w:p>
    <w:p w14:paraId="6CDE24D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observe that the correlation between latent variables in our model is relatively high (Table 6). Although PLS is robust against multicollinearity between latent variables [11], to assess the robustness of our results, we also ran </w:t>
      </w:r>
      <w:r w:rsidRPr="00782AD4">
        <w:rPr>
          <w:rFonts w:ascii="Helvetica" w:eastAsia="Times New Roman" w:hAnsi="Helvetica" w:cs="Times New Roman"/>
          <w:i/>
          <w:iCs/>
          <w:color w:val="333333"/>
          <w:bdr w:val="none" w:sz="0" w:space="0" w:color="auto" w:frame="1"/>
        </w:rPr>
        <w:t>ordinary least squares</w:t>
      </w:r>
      <w:r w:rsidRPr="00782AD4">
        <w:rPr>
          <w:rFonts w:ascii="Helvetica" w:eastAsia="Times New Roman" w:hAnsi="Helvetica" w:cs="Times New Roman"/>
          <w:color w:val="333333"/>
        </w:rPr>
        <w:t> (OLS) regression models after orthogonalizing the variables using the modified Gram-Schmidt procedure [71]. This technique subtracts the vector from its projection, resulting in orthogonal variables. An </w:t>
      </w:r>
      <w:r w:rsidRPr="00782AD4">
        <w:rPr>
          <w:rFonts w:ascii="Helvetica" w:eastAsia="Times New Roman" w:hAnsi="Helvetica" w:cs="Times New Roman"/>
          <w:i/>
          <w:iCs/>
          <w:color w:val="333333"/>
          <w:bdr w:val="none" w:sz="0" w:space="0" w:color="auto" w:frame="1"/>
        </w:rPr>
        <w:t>orthogonalized variable</w:t>
      </w:r>
      <w:r w:rsidRPr="00782AD4">
        <w:rPr>
          <w:rFonts w:ascii="Helvetica" w:eastAsia="Times New Roman" w:hAnsi="Helvetica" w:cs="Times New Roman"/>
          <w:color w:val="333333"/>
        </w:rPr>
        <w:t> is one involving the independent variable minus the linear influences of variables upon which it is orthogonalized. This removes the effect of, or partials out, the common variance between variables, creating transformed variables uncorrelated with one another. Similar to research that uses orthogonalization [74, 75], we tested the findings' sensitivity by running regression models with orthogonalized latent independent variables.</w:t>
      </w:r>
    </w:p>
    <w:p w14:paraId="2138383B"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Correlations between the Second-Order Constructs</w:t>
      </w:r>
    </w:p>
    <w:tbl>
      <w:tblPr>
        <w:tblW w:w="0" w:type="auto"/>
        <w:tblCellMar>
          <w:left w:w="0" w:type="dxa"/>
          <w:right w:w="0" w:type="dxa"/>
        </w:tblCellMar>
        <w:tblLook w:val="04A0" w:firstRow="1" w:lastRow="0" w:firstColumn="1" w:lastColumn="0" w:noHBand="0" w:noVBand="1"/>
      </w:tblPr>
      <w:tblGrid>
        <w:gridCol w:w="134"/>
        <w:gridCol w:w="2099"/>
        <w:gridCol w:w="468"/>
        <w:gridCol w:w="468"/>
        <w:gridCol w:w="468"/>
        <w:gridCol w:w="468"/>
        <w:gridCol w:w="468"/>
      </w:tblGrid>
      <w:tr w:rsidR="00782AD4" w:rsidRPr="00782AD4" w14:paraId="351B8537" w14:textId="77777777" w:rsidTr="00782AD4">
        <w:tc>
          <w:tcPr>
            <w:tcW w:w="0" w:type="auto"/>
            <w:tcBorders>
              <w:top w:val="nil"/>
              <w:left w:val="nil"/>
              <w:bottom w:val="nil"/>
              <w:right w:val="nil"/>
            </w:tcBorders>
            <w:shd w:val="clear" w:color="auto" w:fill="auto"/>
            <w:vAlign w:val="bottom"/>
            <w:hideMark/>
          </w:tcPr>
          <w:p w14:paraId="04D1E71C"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039BCF14"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2</w:t>
            </w:r>
            <w:r w:rsidRPr="00782AD4">
              <w:rPr>
                <w:rFonts w:ascii="Helvetica" w:eastAsia="Times New Roman" w:hAnsi="Helvetica" w:cs="Times New Roman"/>
                <w:color w:val="333333"/>
                <w:bdr w:val="none" w:sz="0" w:space="0" w:color="auto" w:frame="1"/>
                <w:vertAlign w:val="superscript"/>
              </w:rPr>
              <w:t>nd</w:t>
            </w:r>
            <w:r w:rsidRPr="00782AD4">
              <w:rPr>
                <w:rFonts w:ascii="Helvetica" w:eastAsia="Times New Roman" w:hAnsi="Helvetica" w:cs="Times New Roman"/>
                <w:color w:val="333333"/>
              </w:rPr>
              <w:t>-Order Construct</w:t>
            </w:r>
          </w:p>
        </w:tc>
        <w:tc>
          <w:tcPr>
            <w:tcW w:w="0" w:type="auto"/>
            <w:tcBorders>
              <w:top w:val="nil"/>
              <w:left w:val="nil"/>
              <w:bottom w:val="nil"/>
              <w:right w:val="nil"/>
            </w:tcBorders>
            <w:shd w:val="clear" w:color="auto" w:fill="auto"/>
            <w:vAlign w:val="bottom"/>
            <w:hideMark/>
          </w:tcPr>
          <w:p w14:paraId="0B63E4B2"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1</w:t>
            </w:r>
          </w:p>
        </w:tc>
        <w:tc>
          <w:tcPr>
            <w:tcW w:w="0" w:type="auto"/>
            <w:tcBorders>
              <w:top w:val="nil"/>
              <w:left w:val="nil"/>
              <w:bottom w:val="nil"/>
              <w:right w:val="nil"/>
            </w:tcBorders>
            <w:shd w:val="clear" w:color="auto" w:fill="auto"/>
            <w:vAlign w:val="bottom"/>
            <w:hideMark/>
          </w:tcPr>
          <w:p w14:paraId="12493D82"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2</w:t>
            </w:r>
          </w:p>
        </w:tc>
        <w:tc>
          <w:tcPr>
            <w:tcW w:w="0" w:type="auto"/>
            <w:tcBorders>
              <w:top w:val="nil"/>
              <w:left w:val="nil"/>
              <w:bottom w:val="nil"/>
              <w:right w:val="nil"/>
            </w:tcBorders>
            <w:shd w:val="clear" w:color="auto" w:fill="auto"/>
            <w:vAlign w:val="bottom"/>
            <w:hideMark/>
          </w:tcPr>
          <w:p w14:paraId="1EC96A96"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3</w:t>
            </w:r>
          </w:p>
        </w:tc>
        <w:tc>
          <w:tcPr>
            <w:tcW w:w="0" w:type="auto"/>
            <w:tcBorders>
              <w:top w:val="nil"/>
              <w:left w:val="nil"/>
              <w:bottom w:val="nil"/>
              <w:right w:val="nil"/>
            </w:tcBorders>
            <w:shd w:val="clear" w:color="auto" w:fill="auto"/>
            <w:vAlign w:val="bottom"/>
            <w:hideMark/>
          </w:tcPr>
          <w:p w14:paraId="300AC579"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4</w:t>
            </w:r>
          </w:p>
        </w:tc>
        <w:tc>
          <w:tcPr>
            <w:tcW w:w="0" w:type="auto"/>
            <w:tcBorders>
              <w:top w:val="nil"/>
              <w:left w:val="nil"/>
              <w:bottom w:val="nil"/>
              <w:right w:val="nil"/>
            </w:tcBorders>
            <w:shd w:val="clear" w:color="auto" w:fill="auto"/>
            <w:vAlign w:val="bottom"/>
            <w:hideMark/>
          </w:tcPr>
          <w:p w14:paraId="284689A7"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5</w:t>
            </w:r>
          </w:p>
        </w:tc>
      </w:tr>
      <w:tr w:rsidR="00782AD4" w:rsidRPr="00782AD4" w14:paraId="0343CE8A" w14:textId="77777777" w:rsidTr="00782AD4">
        <w:tc>
          <w:tcPr>
            <w:tcW w:w="0" w:type="auto"/>
            <w:tcBorders>
              <w:top w:val="nil"/>
              <w:left w:val="nil"/>
              <w:bottom w:val="nil"/>
              <w:right w:val="nil"/>
            </w:tcBorders>
            <w:shd w:val="clear" w:color="auto" w:fill="auto"/>
            <w:vAlign w:val="bottom"/>
            <w:hideMark/>
          </w:tcPr>
          <w:p w14:paraId="7BD255A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w:t>
            </w:r>
          </w:p>
        </w:tc>
        <w:tc>
          <w:tcPr>
            <w:tcW w:w="0" w:type="auto"/>
            <w:tcBorders>
              <w:top w:val="nil"/>
              <w:left w:val="nil"/>
              <w:bottom w:val="nil"/>
              <w:right w:val="nil"/>
            </w:tcBorders>
            <w:shd w:val="clear" w:color="auto" w:fill="auto"/>
            <w:vAlign w:val="bottom"/>
            <w:hideMark/>
          </w:tcPr>
          <w:p w14:paraId="4F2C331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FirmPerf</w:t>
            </w:r>
          </w:p>
        </w:tc>
        <w:tc>
          <w:tcPr>
            <w:tcW w:w="0" w:type="auto"/>
            <w:tcBorders>
              <w:top w:val="nil"/>
              <w:left w:val="nil"/>
              <w:bottom w:val="nil"/>
              <w:right w:val="nil"/>
            </w:tcBorders>
            <w:shd w:val="clear" w:color="auto" w:fill="auto"/>
            <w:vAlign w:val="bottom"/>
            <w:hideMark/>
          </w:tcPr>
          <w:p w14:paraId="6DAFFFE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1.00</w:t>
            </w:r>
          </w:p>
        </w:tc>
        <w:tc>
          <w:tcPr>
            <w:tcW w:w="0" w:type="auto"/>
            <w:tcBorders>
              <w:top w:val="nil"/>
              <w:left w:val="nil"/>
              <w:bottom w:val="nil"/>
              <w:right w:val="nil"/>
            </w:tcBorders>
            <w:shd w:val="clear" w:color="auto" w:fill="auto"/>
            <w:vAlign w:val="bottom"/>
            <w:hideMark/>
          </w:tcPr>
          <w:p w14:paraId="13F8E38A"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4E3DD59C" w14:textId="77777777" w:rsidR="00782AD4" w:rsidRPr="00782AD4" w:rsidRDefault="00782AD4" w:rsidP="00782AD4">
            <w:pPr>
              <w:rPr>
                <w:rFonts w:ascii="Times New Roman" w:eastAsia="Times New Roman" w:hAnsi="Times New Roman" w:cs="Times New Roman"/>
              </w:rPr>
            </w:pPr>
          </w:p>
        </w:tc>
        <w:tc>
          <w:tcPr>
            <w:tcW w:w="0" w:type="auto"/>
            <w:tcBorders>
              <w:top w:val="nil"/>
              <w:left w:val="nil"/>
              <w:bottom w:val="nil"/>
              <w:right w:val="nil"/>
            </w:tcBorders>
            <w:shd w:val="clear" w:color="auto" w:fill="auto"/>
            <w:vAlign w:val="bottom"/>
            <w:hideMark/>
          </w:tcPr>
          <w:p w14:paraId="3538AF85" w14:textId="77777777" w:rsidR="00782AD4" w:rsidRPr="00782AD4" w:rsidRDefault="00782AD4" w:rsidP="00782AD4">
            <w:pPr>
              <w:rPr>
                <w:rFonts w:ascii="Times New Roman" w:eastAsia="Times New Roman" w:hAnsi="Times New Roman" w:cs="Times New Roman"/>
              </w:rPr>
            </w:pPr>
          </w:p>
        </w:tc>
        <w:tc>
          <w:tcPr>
            <w:tcW w:w="0" w:type="auto"/>
            <w:tcBorders>
              <w:top w:val="nil"/>
              <w:left w:val="nil"/>
              <w:bottom w:val="nil"/>
              <w:right w:val="nil"/>
            </w:tcBorders>
            <w:shd w:val="clear" w:color="auto" w:fill="auto"/>
            <w:vAlign w:val="bottom"/>
            <w:hideMark/>
          </w:tcPr>
          <w:p w14:paraId="5AB23FBB" w14:textId="77777777" w:rsidR="00782AD4" w:rsidRPr="00782AD4" w:rsidRDefault="00782AD4" w:rsidP="00782AD4">
            <w:pPr>
              <w:rPr>
                <w:rFonts w:ascii="Times New Roman" w:eastAsia="Times New Roman" w:hAnsi="Times New Roman" w:cs="Times New Roman"/>
              </w:rPr>
            </w:pPr>
          </w:p>
        </w:tc>
      </w:tr>
      <w:tr w:rsidR="00782AD4" w:rsidRPr="00782AD4" w14:paraId="79003135" w14:textId="77777777" w:rsidTr="00782AD4">
        <w:tc>
          <w:tcPr>
            <w:tcW w:w="0" w:type="auto"/>
            <w:tcBorders>
              <w:top w:val="nil"/>
              <w:left w:val="nil"/>
              <w:bottom w:val="nil"/>
              <w:right w:val="nil"/>
            </w:tcBorders>
            <w:shd w:val="clear" w:color="auto" w:fill="auto"/>
            <w:vAlign w:val="bottom"/>
            <w:hideMark/>
          </w:tcPr>
          <w:p w14:paraId="5B57434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w:t>
            </w:r>
          </w:p>
        </w:tc>
        <w:tc>
          <w:tcPr>
            <w:tcW w:w="0" w:type="auto"/>
            <w:tcBorders>
              <w:top w:val="nil"/>
              <w:left w:val="nil"/>
              <w:bottom w:val="nil"/>
              <w:right w:val="nil"/>
            </w:tcBorders>
            <w:shd w:val="clear" w:color="auto" w:fill="auto"/>
            <w:vAlign w:val="bottom"/>
            <w:hideMark/>
          </w:tcPr>
          <w:p w14:paraId="3DBD992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BusFlex</w:t>
            </w:r>
          </w:p>
        </w:tc>
        <w:tc>
          <w:tcPr>
            <w:tcW w:w="0" w:type="auto"/>
            <w:tcBorders>
              <w:top w:val="nil"/>
              <w:left w:val="nil"/>
              <w:bottom w:val="nil"/>
              <w:right w:val="nil"/>
            </w:tcBorders>
            <w:shd w:val="clear" w:color="auto" w:fill="auto"/>
            <w:vAlign w:val="bottom"/>
            <w:hideMark/>
          </w:tcPr>
          <w:p w14:paraId="2DAA004E"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0.73</w:t>
            </w:r>
          </w:p>
        </w:tc>
        <w:tc>
          <w:tcPr>
            <w:tcW w:w="0" w:type="auto"/>
            <w:tcBorders>
              <w:top w:val="nil"/>
              <w:left w:val="nil"/>
              <w:bottom w:val="nil"/>
              <w:right w:val="nil"/>
            </w:tcBorders>
            <w:shd w:val="clear" w:color="auto" w:fill="auto"/>
            <w:vAlign w:val="bottom"/>
            <w:hideMark/>
          </w:tcPr>
          <w:p w14:paraId="6DDA899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1.00</w:t>
            </w:r>
          </w:p>
        </w:tc>
        <w:tc>
          <w:tcPr>
            <w:tcW w:w="0" w:type="auto"/>
            <w:tcBorders>
              <w:top w:val="nil"/>
              <w:left w:val="nil"/>
              <w:bottom w:val="nil"/>
              <w:right w:val="nil"/>
            </w:tcBorders>
            <w:shd w:val="clear" w:color="auto" w:fill="auto"/>
            <w:vAlign w:val="bottom"/>
            <w:hideMark/>
          </w:tcPr>
          <w:p w14:paraId="73DCB30D"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74CDF43A" w14:textId="77777777" w:rsidR="00782AD4" w:rsidRPr="00782AD4" w:rsidRDefault="00782AD4" w:rsidP="00782AD4">
            <w:pPr>
              <w:rPr>
                <w:rFonts w:ascii="Times New Roman" w:eastAsia="Times New Roman" w:hAnsi="Times New Roman" w:cs="Times New Roman"/>
              </w:rPr>
            </w:pPr>
          </w:p>
        </w:tc>
        <w:tc>
          <w:tcPr>
            <w:tcW w:w="0" w:type="auto"/>
            <w:tcBorders>
              <w:top w:val="nil"/>
              <w:left w:val="nil"/>
              <w:bottom w:val="nil"/>
              <w:right w:val="nil"/>
            </w:tcBorders>
            <w:shd w:val="clear" w:color="auto" w:fill="auto"/>
            <w:vAlign w:val="bottom"/>
            <w:hideMark/>
          </w:tcPr>
          <w:p w14:paraId="1C1F54AD" w14:textId="77777777" w:rsidR="00782AD4" w:rsidRPr="00782AD4" w:rsidRDefault="00782AD4" w:rsidP="00782AD4">
            <w:pPr>
              <w:rPr>
                <w:rFonts w:ascii="Times New Roman" w:eastAsia="Times New Roman" w:hAnsi="Times New Roman" w:cs="Times New Roman"/>
              </w:rPr>
            </w:pPr>
          </w:p>
        </w:tc>
      </w:tr>
      <w:tr w:rsidR="00782AD4" w:rsidRPr="00782AD4" w14:paraId="28396A08" w14:textId="77777777" w:rsidTr="00782AD4">
        <w:tc>
          <w:tcPr>
            <w:tcW w:w="0" w:type="auto"/>
            <w:tcBorders>
              <w:top w:val="nil"/>
              <w:left w:val="nil"/>
              <w:bottom w:val="nil"/>
              <w:right w:val="nil"/>
            </w:tcBorders>
            <w:shd w:val="clear" w:color="auto" w:fill="auto"/>
            <w:vAlign w:val="bottom"/>
            <w:hideMark/>
          </w:tcPr>
          <w:p w14:paraId="176CBF9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3</w:t>
            </w:r>
          </w:p>
        </w:tc>
        <w:tc>
          <w:tcPr>
            <w:tcW w:w="0" w:type="auto"/>
            <w:tcBorders>
              <w:top w:val="nil"/>
              <w:left w:val="nil"/>
              <w:bottom w:val="nil"/>
              <w:right w:val="nil"/>
            </w:tcBorders>
            <w:shd w:val="clear" w:color="auto" w:fill="auto"/>
            <w:vAlign w:val="bottom"/>
            <w:hideMark/>
          </w:tcPr>
          <w:p w14:paraId="41FE7E6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CSPC</w:t>
            </w:r>
          </w:p>
        </w:tc>
        <w:tc>
          <w:tcPr>
            <w:tcW w:w="0" w:type="auto"/>
            <w:tcBorders>
              <w:top w:val="nil"/>
              <w:left w:val="nil"/>
              <w:bottom w:val="nil"/>
              <w:right w:val="nil"/>
            </w:tcBorders>
            <w:shd w:val="clear" w:color="auto" w:fill="auto"/>
            <w:vAlign w:val="bottom"/>
            <w:hideMark/>
          </w:tcPr>
          <w:p w14:paraId="5B436BD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0.76</w:t>
            </w:r>
          </w:p>
        </w:tc>
        <w:tc>
          <w:tcPr>
            <w:tcW w:w="0" w:type="auto"/>
            <w:tcBorders>
              <w:top w:val="nil"/>
              <w:left w:val="nil"/>
              <w:bottom w:val="nil"/>
              <w:right w:val="nil"/>
            </w:tcBorders>
            <w:shd w:val="clear" w:color="auto" w:fill="auto"/>
            <w:vAlign w:val="bottom"/>
            <w:hideMark/>
          </w:tcPr>
          <w:p w14:paraId="448CE2B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0.84</w:t>
            </w:r>
          </w:p>
        </w:tc>
        <w:tc>
          <w:tcPr>
            <w:tcW w:w="0" w:type="auto"/>
            <w:tcBorders>
              <w:top w:val="nil"/>
              <w:left w:val="nil"/>
              <w:bottom w:val="nil"/>
              <w:right w:val="nil"/>
            </w:tcBorders>
            <w:shd w:val="clear" w:color="auto" w:fill="auto"/>
            <w:vAlign w:val="bottom"/>
            <w:hideMark/>
          </w:tcPr>
          <w:p w14:paraId="6BE21E2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1.00</w:t>
            </w:r>
          </w:p>
        </w:tc>
        <w:tc>
          <w:tcPr>
            <w:tcW w:w="0" w:type="auto"/>
            <w:tcBorders>
              <w:top w:val="nil"/>
              <w:left w:val="nil"/>
              <w:bottom w:val="nil"/>
              <w:right w:val="nil"/>
            </w:tcBorders>
            <w:shd w:val="clear" w:color="auto" w:fill="auto"/>
            <w:vAlign w:val="bottom"/>
            <w:hideMark/>
          </w:tcPr>
          <w:p w14:paraId="5CABCDA7"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45FD79E0" w14:textId="77777777" w:rsidR="00782AD4" w:rsidRPr="00782AD4" w:rsidRDefault="00782AD4" w:rsidP="00782AD4">
            <w:pPr>
              <w:rPr>
                <w:rFonts w:ascii="Times New Roman" w:eastAsia="Times New Roman" w:hAnsi="Times New Roman" w:cs="Times New Roman"/>
              </w:rPr>
            </w:pPr>
          </w:p>
        </w:tc>
      </w:tr>
      <w:tr w:rsidR="00782AD4" w:rsidRPr="00782AD4" w14:paraId="36F74688" w14:textId="77777777" w:rsidTr="00782AD4">
        <w:tc>
          <w:tcPr>
            <w:tcW w:w="0" w:type="auto"/>
            <w:tcBorders>
              <w:top w:val="nil"/>
              <w:left w:val="nil"/>
              <w:bottom w:val="nil"/>
              <w:right w:val="nil"/>
            </w:tcBorders>
            <w:shd w:val="clear" w:color="auto" w:fill="auto"/>
            <w:vAlign w:val="bottom"/>
            <w:hideMark/>
          </w:tcPr>
          <w:p w14:paraId="3DA57EB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4</w:t>
            </w:r>
          </w:p>
        </w:tc>
        <w:tc>
          <w:tcPr>
            <w:tcW w:w="0" w:type="auto"/>
            <w:tcBorders>
              <w:top w:val="nil"/>
              <w:left w:val="nil"/>
              <w:bottom w:val="nil"/>
              <w:right w:val="nil"/>
            </w:tcBorders>
            <w:shd w:val="clear" w:color="auto" w:fill="auto"/>
            <w:vAlign w:val="bottom"/>
            <w:hideMark/>
          </w:tcPr>
          <w:p w14:paraId="10FAE2B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CIC</w:t>
            </w:r>
          </w:p>
        </w:tc>
        <w:tc>
          <w:tcPr>
            <w:tcW w:w="0" w:type="auto"/>
            <w:tcBorders>
              <w:top w:val="nil"/>
              <w:left w:val="nil"/>
              <w:bottom w:val="nil"/>
              <w:right w:val="nil"/>
            </w:tcBorders>
            <w:shd w:val="clear" w:color="auto" w:fill="auto"/>
            <w:vAlign w:val="bottom"/>
            <w:hideMark/>
          </w:tcPr>
          <w:p w14:paraId="03D91F3E"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0.75</w:t>
            </w:r>
          </w:p>
        </w:tc>
        <w:tc>
          <w:tcPr>
            <w:tcW w:w="0" w:type="auto"/>
            <w:tcBorders>
              <w:top w:val="nil"/>
              <w:left w:val="nil"/>
              <w:bottom w:val="nil"/>
              <w:right w:val="nil"/>
            </w:tcBorders>
            <w:shd w:val="clear" w:color="auto" w:fill="auto"/>
            <w:vAlign w:val="bottom"/>
            <w:hideMark/>
          </w:tcPr>
          <w:p w14:paraId="3B9031F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0.80</w:t>
            </w:r>
          </w:p>
        </w:tc>
        <w:tc>
          <w:tcPr>
            <w:tcW w:w="0" w:type="auto"/>
            <w:tcBorders>
              <w:top w:val="nil"/>
              <w:left w:val="nil"/>
              <w:bottom w:val="nil"/>
              <w:right w:val="nil"/>
            </w:tcBorders>
            <w:shd w:val="clear" w:color="auto" w:fill="auto"/>
            <w:vAlign w:val="bottom"/>
            <w:hideMark/>
          </w:tcPr>
          <w:p w14:paraId="25D8A8A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0.81</w:t>
            </w:r>
          </w:p>
        </w:tc>
        <w:tc>
          <w:tcPr>
            <w:tcW w:w="0" w:type="auto"/>
            <w:tcBorders>
              <w:top w:val="nil"/>
              <w:left w:val="nil"/>
              <w:bottom w:val="nil"/>
              <w:right w:val="nil"/>
            </w:tcBorders>
            <w:shd w:val="clear" w:color="auto" w:fill="auto"/>
            <w:vAlign w:val="bottom"/>
            <w:hideMark/>
          </w:tcPr>
          <w:p w14:paraId="03CB71D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1.00</w:t>
            </w:r>
          </w:p>
        </w:tc>
        <w:tc>
          <w:tcPr>
            <w:tcW w:w="0" w:type="auto"/>
            <w:tcBorders>
              <w:top w:val="nil"/>
              <w:left w:val="nil"/>
              <w:bottom w:val="nil"/>
              <w:right w:val="nil"/>
            </w:tcBorders>
            <w:shd w:val="clear" w:color="auto" w:fill="auto"/>
            <w:vAlign w:val="bottom"/>
            <w:hideMark/>
          </w:tcPr>
          <w:p w14:paraId="2EDB87D8" w14:textId="77777777" w:rsidR="00782AD4" w:rsidRPr="00782AD4" w:rsidRDefault="00782AD4" w:rsidP="00782AD4">
            <w:pPr>
              <w:rPr>
                <w:rFonts w:ascii="Helvetica" w:eastAsia="Times New Roman" w:hAnsi="Helvetica" w:cs="Times New Roman"/>
                <w:color w:val="333333"/>
              </w:rPr>
            </w:pPr>
          </w:p>
        </w:tc>
      </w:tr>
      <w:tr w:rsidR="00782AD4" w:rsidRPr="00782AD4" w14:paraId="2F685A6A" w14:textId="77777777" w:rsidTr="00782AD4">
        <w:tc>
          <w:tcPr>
            <w:tcW w:w="0" w:type="auto"/>
            <w:tcBorders>
              <w:top w:val="nil"/>
              <w:left w:val="nil"/>
              <w:bottom w:val="nil"/>
              <w:right w:val="nil"/>
            </w:tcBorders>
            <w:shd w:val="clear" w:color="auto" w:fill="auto"/>
            <w:vAlign w:val="bottom"/>
            <w:hideMark/>
          </w:tcPr>
          <w:p w14:paraId="475999CF"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5</w:t>
            </w:r>
          </w:p>
        </w:tc>
        <w:tc>
          <w:tcPr>
            <w:tcW w:w="0" w:type="auto"/>
            <w:tcBorders>
              <w:top w:val="nil"/>
              <w:left w:val="nil"/>
              <w:bottom w:val="nil"/>
              <w:right w:val="nil"/>
            </w:tcBorders>
            <w:shd w:val="clear" w:color="auto" w:fill="auto"/>
            <w:vAlign w:val="bottom"/>
            <w:hideMark/>
          </w:tcPr>
          <w:p w14:paraId="536E823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CTC</w:t>
            </w:r>
          </w:p>
        </w:tc>
        <w:tc>
          <w:tcPr>
            <w:tcW w:w="0" w:type="auto"/>
            <w:tcBorders>
              <w:top w:val="nil"/>
              <w:left w:val="nil"/>
              <w:bottom w:val="nil"/>
              <w:right w:val="nil"/>
            </w:tcBorders>
            <w:shd w:val="clear" w:color="auto" w:fill="auto"/>
            <w:vAlign w:val="bottom"/>
            <w:hideMark/>
          </w:tcPr>
          <w:p w14:paraId="5185BCD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0.75</w:t>
            </w:r>
          </w:p>
        </w:tc>
        <w:tc>
          <w:tcPr>
            <w:tcW w:w="0" w:type="auto"/>
            <w:tcBorders>
              <w:top w:val="nil"/>
              <w:left w:val="nil"/>
              <w:bottom w:val="nil"/>
              <w:right w:val="nil"/>
            </w:tcBorders>
            <w:shd w:val="clear" w:color="auto" w:fill="auto"/>
            <w:vAlign w:val="bottom"/>
            <w:hideMark/>
          </w:tcPr>
          <w:p w14:paraId="12AB381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0.79</w:t>
            </w:r>
          </w:p>
        </w:tc>
        <w:tc>
          <w:tcPr>
            <w:tcW w:w="0" w:type="auto"/>
            <w:tcBorders>
              <w:top w:val="nil"/>
              <w:left w:val="nil"/>
              <w:bottom w:val="nil"/>
              <w:right w:val="nil"/>
            </w:tcBorders>
            <w:shd w:val="clear" w:color="auto" w:fill="auto"/>
            <w:vAlign w:val="bottom"/>
            <w:hideMark/>
          </w:tcPr>
          <w:p w14:paraId="4D92861E"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0.77</w:t>
            </w:r>
          </w:p>
        </w:tc>
        <w:tc>
          <w:tcPr>
            <w:tcW w:w="0" w:type="auto"/>
            <w:tcBorders>
              <w:top w:val="nil"/>
              <w:left w:val="nil"/>
              <w:bottom w:val="nil"/>
              <w:right w:val="nil"/>
            </w:tcBorders>
            <w:shd w:val="clear" w:color="auto" w:fill="auto"/>
            <w:vAlign w:val="bottom"/>
            <w:hideMark/>
          </w:tcPr>
          <w:p w14:paraId="0930119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0.78</w:t>
            </w:r>
          </w:p>
        </w:tc>
        <w:tc>
          <w:tcPr>
            <w:tcW w:w="0" w:type="auto"/>
            <w:tcBorders>
              <w:top w:val="nil"/>
              <w:left w:val="nil"/>
              <w:bottom w:val="nil"/>
              <w:right w:val="nil"/>
            </w:tcBorders>
            <w:shd w:val="clear" w:color="auto" w:fill="auto"/>
            <w:vAlign w:val="bottom"/>
            <w:hideMark/>
          </w:tcPr>
          <w:p w14:paraId="14201F9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1.00</w:t>
            </w:r>
          </w:p>
        </w:tc>
      </w:tr>
    </w:tbl>
    <w:p w14:paraId="516172B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ran OLS models because the orthogonalized variables in the PLS model resulted in a small amount of explained variance for the intermediate latent variables (e.g.,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xml:space="preserve">). This happens because PLS applies OLS regression [15], and orthogonalizing multiple constructs in a full PLS model leads to correlations that come close to 0 between all the transformed variables in a structural path. Thus, the modified Gram-Schmidt procedure, when applied to our full PLS model, results in uncorrelated estimates of the dependent variable with the independent variables, and, therefore, it results in lower variance </w:t>
      </w:r>
      <w:r w:rsidRPr="00782AD4">
        <w:rPr>
          <w:rFonts w:ascii="Helvetica" w:eastAsia="Times New Roman" w:hAnsi="Helvetica" w:cs="Times New Roman"/>
          <w:color w:val="333333"/>
        </w:rPr>
        <w:lastRenderedPageBreak/>
        <w:t>explained. Conversely, high correlation </w:t>
      </w:r>
      <w:r w:rsidRPr="00782AD4">
        <w:rPr>
          <w:rFonts w:ascii="Helvetica" w:eastAsia="Times New Roman" w:hAnsi="Helvetica" w:cs="Times New Roman"/>
          <w:b/>
          <w:bCs/>
          <w:color w:val="333333"/>
          <w:bdr w:val="none" w:sz="0" w:space="0" w:color="auto" w:frame="1"/>
        </w:rPr>
        <w:t>values</w:t>
      </w:r>
      <w:r w:rsidRPr="00782AD4">
        <w:rPr>
          <w:rFonts w:ascii="Helvetica" w:eastAsia="Times New Roman" w:hAnsi="Helvetica" w:cs="Times New Roman"/>
          <w:color w:val="333333"/>
        </w:rPr>
        <w:t> between latent variables in PLS estimations are not uncommon (e.g., see Morgeson et al. [60]), and our model does not suffer from multicollinearity; therefore, such </w:t>
      </w:r>
      <w:r w:rsidRPr="00782AD4">
        <w:rPr>
          <w:rFonts w:ascii="Helvetica" w:eastAsia="Times New Roman" w:hAnsi="Helvetica" w:cs="Times New Roman"/>
          <w:b/>
          <w:bCs/>
          <w:color w:val="333333"/>
          <w:bdr w:val="none" w:sz="0" w:space="0" w:color="auto" w:frame="1"/>
        </w:rPr>
        <w:t>values</w:t>
      </w:r>
      <w:r w:rsidRPr="00782AD4">
        <w:rPr>
          <w:rFonts w:ascii="Helvetica" w:eastAsia="Times New Roman" w:hAnsi="Helvetica" w:cs="Times New Roman"/>
          <w:color w:val="333333"/>
        </w:rPr>
        <w:t> do not adversely affect our estimates.</w:t>
      </w:r>
    </w:p>
    <w:p w14:paraId="2279D68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Table 7 shows the regression results after orthogonalization. Column 1 has a positive coefficient of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on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0.77,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supporting the Technology and Integration Hypothesis (H1). Column 2 has positive coefficients of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0.19,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and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0.81,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on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supporting the Technology and Service Portfolio Hypothesis (H2) and Integration and Service </w:t>
      </w:r>
      <w:r w:rsidRPr="00782AD4">
        <w:rPr>
          <w:rFonts w:ascii="Helvetica" w:eastAsia="Times New Roman" w:hAnsi="Helvetica" w:cs="Times New Roman"/>
          <w:i/>
          <w:iCs/>
          <w:color w:val="333333"/>
          <w:bdr w:val="none" w:sz="0" w:space="0" w:color="auto" w:frame="1"/>
        </w:rPr>
        <w:t>Portfolio</w:t>
      </w:r>
      <w:r w:rsidRPr="00782AD4">
        <w:rPr>
          <w:rFonts w:ascii="Helvetica" w:eastAsia="Times New Roman" w:hAnsi="Helvetica" w:cs="Times New Roman"/>
          <w:color w:val="333333"/>
        </w:rPr>
        <w:t> Hypothesis (H3). Similarly, Column 3 shows positive coefficients of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0.21,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and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0.83,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on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supporting Integration and Flexibility Hypothesis (H4) and Service Portfolio and Flexibility Hypothesis (H5). Finally, Column 4 has positive coefficients of </w:t>
      </w:r>
      <w:r w:rsidRPr="00782AD4">
        <w:rPr>
          <w:rFonts w:ascii="Helvetica" w:eastAsia="Times New Roman" w:hAnsi="Helvetica" w:cs="Times New Roman"/>
          <w:i/>
          <w:iCs/>
          <w:color w:val="333333"/>
          <w:bdr w:val="none" w:sz="0" w:space="0" w:color="auto" w:frame="1"/>
        </w:rPr>
        <w:t>BusFlex</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0.73,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0.16,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and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β</w:t>
      </w:r>
      <w:r w:rsidRPr="00782AD4">
        <w:rPr>
          <w:rFonts w:ascii="Helvetica" w:eastAsia="Times New Roman" w:hAnsi="Helvetica" w:cs="Times New Roman"/>
          <w:color w:val="333333"/>
        </w:rPr>
        <w:t> = 0.27,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on </w:t>
      </w:r>
      <w:r w:rsidRPr="00782AD4">
        <w:rPr>
          <w:rFonts w:ascii="Helvetica" w:eastAsia="Times New Roman" w:hAnsi="Helvetica" w:cs="Times New Roman"/>
          <w:i/>
          <w:iCs/>
          <w:color w:val="333333"/>
          <w:bdr w:val="none" w:sz="0" w:space="0" w:color="auto" w:frame="1"/>
        </w:rPr>
        <w:t>FirmPerf</w:t>
      </w:r>
      <w:r w:rsidRPr="00782AD4">
        <w:rPr>
          <w:rFonts w:ascii="Helvetica" w:eastAsia="Times New Roman" w:hAnsi="Helvetica" w:cs="Times New Roman"/>
          <w:color w:val="333333"/>
        </w:rPr>
        <w:t>, supporting the Flexibility and Performance Hypothesis (H6), Integration and Performance Hypothesis (H7), and the Service Portfolio and Performance Hypothesis (H8). Thus, the hypotheses are supported with orthogonalized variables in the regressions, suggesting the relatively high correlations among the latent variables in the PLS model are not a problem.</w:t>
      </w:r>
    </w:p>
    <w:p w14:paraId="3726E36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Robustness Test: Regression Results Using Orthogonalized Variables</w:t>
      </w:r>
    </w:p>
    <w:tbl>
      <w:tblPr>
        <w:tblW w:w="0" w:type="auto"/>
        <w:tblCellMar>
          <w:left w:w="0" w:type="dxa"/>
          <w:right w:w="0" w:type="dxa"/>
        </w:tblCellMar>
        <w:tblLook w:val="04A0" w:firstRow="1" w:lastRow="0" w:firstColumn="1" w:lastColumn="0" w:noHBand="0" w:noVBand="1"/>
      </w:tblPr>
      <w:tblGrid>
        <w:gridCol w:w="3969"/>
        <w:gridCol w:w="1346"/>
        <w:gridCol w:w="1346"/>
        <w:gridCol w:w="1346"/>
        <w:gridCol w:w="1353"/>
      </w:tblGrid>
      <w:tr w:rsidR="00782AD4" w:rsidRPr="00782AD4" w14:paraId="7A6952D1" w14:textId="77777777" w:rsidTr="00782AD4">
        <w:tc>
          <w:tcPr>
            <w:tcW w:w="0" w:type="auto"/>
            <w:tcBorders>
              <w:top w:val="nil"/>
              <w:left w:val="nil"/>
              <w:bottom w:val="nil"/>
              <w:right w:val="nil"/>
            </w:tcBorders>
            <w:shd w:val="clear" w:color="auto" w:fill="auto"/>
            <w:vAlign w:val="bottom"/>
            <w:hideMark/>
          </w:tcPr>
          <w:p w14:paraId="69EF1719" w14:textId="77777777" w:rsidR="00782AD4" w:rsidRPr="00782AD4" w:rsidRDefault="00782AD4" w:rsidP="00782AD4">
            <w:pPr>
              <w:rPr>
                <w:rFonts w:ascii="Helvetica" w:eastAsia="Times New Roman" w:hAnsi="Helvetica" w:cs="Times New Roman"/>
                <w:color w:val="333333"/>
              </w:rPr>
            </w:pPr>
          </w:p>
        </w:tc>
        <w:tc>
          <w:tcPr>
            <w:tcW w:w="0" w:type="auto"/>
            <w:tcBorders>
              <w:top w:val="nil"/>
              <w:left w:val="nil"/>
              <w:bottom w:val="nil"/>
              <w:right w:val="nil"/>
            </w:tcBorders>
            <w:shd w:val="clear" w:color="auto" w:fill="auto"/>
            <w:vAlign w:val="bottom"/>
            <w:hideMark/>
          </w:tcPr>
          <w:p w14:paraId="1455FFC3"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CIC</w:t>
            </w:r>
          </w:p>
        </w:tc>
        <w:tc>
          <w:tcPr>
            <w:tcW w:w="0" w:type="auto"/>
            <w:tcBorders>
              <w:top w:val="nil"/>
              <w:left w:val="nil"/>
              <w:bottom w:val="nil"/>
              <w:right w:val="nil"/>
            </w:tcBorders>
            <w:shd w:val="clear" w:color="auto" w:fill="auto"/>
            <w:vAlign w:val="bottom"/>
            <w:hideMark/>
          </w:tcPr>
          <w:p w14:paraId="4241A1F9"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CSPC</w:t>
            </w:r>
          </w:p>
        </w:tc>
        <w:tc>
          <w:tcPr>
            <w:tcW w:w="0" w:type="auto"/>
            <w:tcBorders>
              <w:top w:val="nil"/>
              <w:left w:val="nil"/>
              <w:bottom w:val="nil"/>
              <w:right w:val="nil"/>
            </w:tcBorders>
            <w:shd w:val="clear" w:color="auto" w:fill="auto"/>
            <w:vAlign w:val="bottom"/>
            <w:hideMark/>
          </w:tcPr>
          <w:p w14:paraId="6AEFA7E5"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BusFlex</w:t>
            </w:r>
          </w:p>
        </w:tc>
        <w:tc>
          <w:tcPr>
            <w:tcW w:w="0" w:type="auto"/>
            <w:tcBorders>
              <w:top w:val="nil"/>
              <w:left w:val="nil"/>
              <w:bottom w:val="nil"/>
              <w:right w:val="nil"/>
            </w:tcBorders>
            <w:shd w:val="clear" w:color="auto" w:fill="auto"/>
            <w:vAlign w:val="bottom"/>
            <w:hideMark/>
          </w:tcPr>
          <w:p w14:paraId="0708DF40"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FirmPerf</w:t>
            </w:r>
          </w:p>
        </w:tc>
      </w:tr>
      <w:tr w:rsidR="00782AD4" w:rsidRPr="00782AD4" w14:paraId="07A978A8" w14:textId="77777777" w:rsidTr="00782AD4">
        <w:tc>
          <w:tcPr>
            <w:tcW w:w="0" w:type="auto"/>
            <w:tcBorders>
              <w:top w:val="nil"/>
              <w:left w:val="nil"/>
              <w:bottom w:val="nil"/>
              <w:right w:val="nil"/>
            </w:tcBorders>
            <w:shd w:val="clear" w:color="auto" w:fill="auto"/>
            <w:vAlign w:val="bottom"/>
            <w:hideMark/>
          </w:tcPr>
          <w:p w14:paraId="359B217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Variables</w:t>
            </w:r>
          </w:p>
        </w:tc>
        <w:tc>
          <w:tcPr>
            <w:tcW w:w="0" w:type="auto"/>
            <w:tcBorders>
              <w:top w:val="nil"/>
              <w:left w:val="nil"/>
              <w:bottom w:val="nil"/>
              <w:right w:val="nil"/>
            </w:tcBorders>
            <w:shd w:val="clear" w:color="auto" w:fill="auto"/>
            <w:vAlign w:val="bottom"/>
            <w:hideMark/>
          </w:tcPr>
          <w:p w14:paraId="1B5F06A1"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Model 1</w:t>
            </w:r>
          </w:p>
        </w:tc>
        <w:tc>
          <w:tcPr>
            <w:tcW w:w="0" w:type="auto"/>
            <w:tcBorders>
              <w:top w:val="nil"/>
              <w:left w:val="nil"/>
              <w:bottom w:val="nil"/>
              <w:right w:val="nil"/>
            </w:tcBorders>
            <w:shd w:val="clear" w:color="auto" w:fill="auto"/>
            <w:vAlign w:val="bottom"/>
            <w:hideMark/>
          </w:tcPr>
          <w:p w14:paraId="278E1DC4"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Model 2</w:t>
            </w:r>
          </w:p>
        </w:tc>
        <w:tc>
          <w:tcPr>
            <w:tcW w:w="0" w:type="auto"/>
            <w:tcBorders>
              <w:top w:val="nil"/>
              <w:left w:val="nil"/>
              <w:bottom w:val="nil"/>
              <w:right w:val="nil"/>
            </w:tcBorders>
            <w:shd w:val="clear" w:color="auto" w:fill="auto"/>
            <w:vAlign w:val="bottom"/>
            <w:hideMark/>
          </w:tcPr>
          <w:p w14:paraId="1218A26D"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Model 3</w:t>
            </w:r>
          </w:p>
        </w:tc>
        <w:tc>
          <w:tcPr>
            <w:tcW w:w="0" w:type="auto"/>
            <w:tcBorders>
              <w:top w:val="nil"/>
              <w:left w:val="nil"/>
              <w:bottom w:val="nil"/>
              <w:right w:val="nil"/>
            </w:tcBorders>
            <w:shd w:val="clear" w:color="auto" w:fill="auto"/>
            <w:vAlign w:val="bottom"/>
            <w:hideMark/>
          </w:tcPr>
          <w:p w14:paraId="561BE83E" w14:textId="77777777" w:rsidR="00782AD4" w:rsidRPr="00782AD4" w:rsidRDefault="00782AD4" w:rsidP="00782AD4">
            <w:pPr>
              <w:jc w:val="center"/>
              <w:rPr>
                <w:rFonts w:ascii="Helvetica" w:eastAsia="Times New Roman" w:hAnsi="Helvetica" w:cs="Times New Roman"/>
                <w:color w:val="333333"/>
              </w:rPr>
            </w:pPr>
            <w:r w:rsidRPr="00782AD4">
              <w:rPr>
                <w:rFonts w:ascii="Helvetica" w:eastAsia="Times New Roman" w:hAnsi="Helvetica" w:cs="Times New Roman"/>
                <w:color w:val="333333"/>
              </w:rPr>
              <w:t>Model 4</w:t>
            </w:r>
          </w:p>
        </w:tc>
      </w:tr>
      <w:tr w:rsidR="00782AD4" w:rsidRPr="00782AD4" w14:paraId="550646A8" w14:textId="77777777" w:rsidTr="00782AD4">
        <w:tc>
          <w:tcPr>
            <w:tcW w:w="0" w:type="auto"/>
            <w:tcBorders>
              <w:top w:val="nil"/>
              <w:left w:val="nil"/>
              <w:bottom w:val="nil"/>
              <w:right w:val="nil"/>
            </w:tcBorders>
            <w:shd w:val="clear" w:color="auto" w:fill="auto"/>
            <w:vAlign w:val="bottom"/>
            <w:hideMark/>
          </w:tcPr>
          <w:p w14:paraId="0B86684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Cloud Technological Capability (CTC)</w:t>
            </w:r>
          </w:p>
        </w:tc>
        <w:tc>
          <w:tcPr>
            <w:tcW w:w="0" w:type="auto"/>
            <w:tcBorders>
              <w:top w:val="nil"/>
              <w:left w:val="nil"/>
              <w:bottom w:val="nil"/>
              <w:right w:val="nil"/>
            </w:tcBorders>
            <w:shd w:val="clear" w:color="auto" w:fill="auto"/>
            <w:vAlign w:val="bottom"/>
            <w:hideMark/>
          </w:tcPr>
          <w:p w14:paraId="3E5A20F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0.77*** (0.05)</w:t>
            </w:r>
          </w:p>
        </w:tc>
        <w:tc>
          <w:tcPr>
            <w:tcW w:w="0" w:type="auto"/>
            <w:tcBorders>
              <w:top w:val="nil"/>
              <w:left w:val="nil"/>
              <w:bottom w:val="nil"/>
              <w:right w:val="nil"/>
            </w:tcBorders>
            <w:shd w:val="clear" w:color="auto" w:fill="auto"/>
            <w:vAlign w:val="bottom"/>
            <w:hideMark/>
          </w:tcPr>
          <w:p w14:paraId="22AF62A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0.19*** (0.05)</w:t>
            </w:r>
          </w:p>
        </w:tc>
        <w:tc>
          <w:tcPr>
            <w:tcW w:w="0" w:type="auto"/>
            <w:tcBorders>
              <w:top w:val="nil"/>
              <w:left w:val="nil"/>
              <w:bottom w:val="nil"/>
              <w:right w:val="nil"/>
            </w:tcBorders>
            <w:shd w:val="clear" w:color="auto" w:fill="auto"/>
            <w:vAlign w:val="bottom"/>
            <w:hideMark/>
          </w:tcPr>
          <w:p w14:paraId="3D692A2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06826FC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r>
      <w:tr w:rsidR="00782AD4" w:rsidRPr="00782AD4" w14:paraId="1F33E67F" w14:textId="77777777" w:rsidTr="00782AD4">
        <w:tc>
          <w:tcPr>
            <w:tcW w:w="0" w:type="auto"/>
            <w:tcBorders>
              <w:top w:val="nil"/>
              <w:left w:val="nil"/>
              <w:bottom w:val="nil"/>
              <w:right w:val="nil"/>
            </w:tcBorders>
            <w:shd w:val="clear" w:color="auto" w:fill="auto"/>
            <w:vAlign w:val="bottom"/>
            <w:hideMark/>
          </w:tcPr>
          <w:p w14:paraId="6CD18B6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Cloud Integration Capability (CIC)</w:t>
            </w:r>
          </w:p>
        </w:tc>
        <w:tc>
          <w:tcPr>
            <w:tcW w:w="0" w:type="auto"/>
            <w:tcBorders>
              <w:top w:val="nil"/>
              <w:left w:val="nil"/>
              <w:bottom w:val="nil"/>
              <w:right w:val="nil"/>
            </w:tcBorders>
            <w:shd w:val="clear" w:color="auto" w:fill="auto"/>
            <w:vAlign w:val="bottom"/>
            <w:hideMark/>
          </w:tcPr>
          <w:p w14:paraId="3DDE99C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1FBD7421"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0.81*** (0.05)</w:t>
            </w:r>
          </w:p>
        </w:tc>
        <w:tc>
          <w:tcPr>
            <w:tcW w:w="0" w:type="auto"/>
            <w:tcBorders>
              <w:top w:val="nil"/>
              <w:left w:val="nil"/>
              <w:bottom w:val="nil"/>
              <w:right w:val="nil"/>
            </w:tcBorders>
            <w:shd w:val="clear" w:color="auto" w:fill="auto"/>
            <w:vAlign w:val="bottom"/>
            <w:hideMark/>
          </w:tcPr>
          <w:p w14:paraId="421CE8D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0.21*** (0.04)</w:t>
            </w:r>
          </w:p>
        </w:tc>
        <w:tc>
          <w:tcPr>
            <w:tcW w:w="0" w:type="auto"/>
            <w:tcBorders>
              <w:top w:val="nil"/>
              <w:left w:val="nil"/>
              <w:bottom w:val="nil"/>
              <w:right w:val="nil"/>
            </w:tcBorders>
            <w:shd w:val="clear" w:color="auto" w:fill="auto"/>
            <w:vAlign w:val="bottom"/>
            <w:hideMark/>
          </w:tcPr>
          <w:p w14:paraId="6A1E15B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0.16*** (0.05)</w:t>
            </w:r>
          </w:p>
        </w:tc>
      </w:tr>
      <w:tr w:rsidR="00782AD4" w:rsidRPr="00782AD4" w14:paraId="1F8CFDA2" w14:textId="77777777" w:rsidTr="00782AD4">
        <w:tc>
          <w:tcPr>
            <w:tcW w:w="0" w:type="auto"/>
            <w:tcBorders>
              <w:top w:val="nil"/>
              <w:left w:val="nil"/>
              <w:bottom w:val="nil"/>
              <w:right w:val="nil"/>
            </w:tcBorders>
            <w:shd w:val="clear" w:color="auto" w:fill="auto"/>
            <w:vAlign w:val="bottom"/>
            <w:hideMark/>
          </w:tcPr>
          <w:p w14:paraId="251E67E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Cloud Service Portfolio Capability (CSPC)</w:t>
            </w:r>
          </w:p>
        </w:tc>
        <w:tc>
          <w:tcPr>
            <w:tcW w:w="0" w:type="auto"/>
            <w:tcBorders>
              <w:top w:val="nil"/>
              <w:left w:val="nil"/>
              <w:bottom w:val="nil"/>
              <w:right w:val="nil"/>
            </w:tcBorders>
            <w:shd w:val="clear" w:color="auto" w:fill="auto"/>
            <w:vAlign w:val="bottom"/>
            <w:hideMark/>
          </w:tcPr>
          <w:p w14:paraId="1A84297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5B375DF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761CE59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0.83*** (0.04)</w:t>
            </w:r>
          </w:p>
        </w:tc>
        <w:tc>
          <w:tcPr>
            <w:tcW w:w="0" w:type="auto"/>
            <w:tcBorders>
              <w:top w:val="nil"/>
              <w:left w:val="nil"/>
              <w:bottom w:val="nil"/>
              <w:right w:val="nil"/>
            </w:tcBorders>
            <w:shd w:val="clear" w:color="auto" w:fill="auto"/>
            <w:vAlign w:val="bottom"/>
            <w:hideMark/>
          </w:tcPr>
          <w:p w14:paraId="4DA073F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0.27*** (0.05)</w:t>
            </w:r>
          </w:p>
        </w:tc>
      </w:tr>
      <w:tr w:rsidR="00782AD4" w:rsidRPr="00782AD4" w14:paraId="00ECB294" w14:textId="77777777" w:rsidTr="00782AD4">
        <w:tc>
          <w:tcPr>
            <w:tcW w:w="0" w:type="auto"/>
            <w:tcBorders>
              <w:top w:val="nil"/>
              <w:left w:val="nil"/>
              <w:bottom w:val="nil"/>
              <w:right w:val="nil"/>
            </w:tcBorders>
            <w:shd w:val="clear" w:color="auto" w:fill="auto"/>
            <w:vAlign w:val="bottom"/>
            <w:hideMark/>
          </w:tcPr>
          <w:p w14:paraId="7EEAE6D8"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Business Flexibility (BusFlex)</w:t>
            </w:r>
          </w:p>
        </w:tc>
        <w:tc>
          <w:tcPr>
            <w:tcW w:w="0" w:type="auto"/>
            <w:tcBorders>
              <w:top w:val="nil"/>
              <w:left w:val="nil"/>
              <w:bottom w:val="nil"/>
              <w:right w:val="nil"/>
            </w:tcBorders>
            <w:shd w:val="clear" w:color="auto" w:fill="auto"/>
            <w:vAlign w:val="bottom"/>
            <w:hideMark/>
          </w:tcPr>
          <w:p w14:paraId="14A6F91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64AF7EC3"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3B9EE5A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59DCA68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0.73*** (0.05)</w:t>
            </w:r>
          </w:p>
        </w:tc>
      </w:tr>
      <w:tr w:rsidR="00782AD4" w:rsidRPr="00782AD4" w14:paraId="30B4DAFD" w14:textId="77777777" w:rsidTr="00782AD4">
        <w:tc>
          <w:tcPr>
            <w:tcW w:w="0" w:type="auto"/>
            <w:tcBorders>
              <w:top w:val="nil"/>
              <w:left w:val="nil"/>
              <w:bottom w:val="nil"/>
              <w:right w:val="nil"/>
            </w:tcBorders>
            <w:shd w:val="clear" w:color="auto" w:fill="auto"/>
            <w:vAlign w:val="bottom"/>
            <w:hideMark/>
          </w:tcPr>
          <w:p w14:paraId="138B9A1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F-stat.</w:t>
            </w:r>
          </w:p>
        </w:tc>
        <w:tc>
          <w:tcPr>
            <w:tcW w:w="0" w:type="auto"/>
            <w:tcBorders>
              <w:top w:val="nil"/>
              <w:left w:val="nil"/>
              <w:bottom w:val="nil"/>
              <w:right w:val="nil"/>
            </w:tcBorders>
            <w:shd w:val="clear" w:color="auto" w:fill="auto"/>
            <w:vAlign w:val="bottom"/>
            <w:hideMark/>
          </w:tcPr>
          <w:p w14:paraId="6DA2C19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37.29***</w:t>
            </w:r>
          </w:p>
        </w:tc>
        <w:tc>
          <w:tcPr>
            <w:tcW w:w="0" w:type="auto"/>
            <w:tcBorders>
              <w:top w:val="nil"/>
              <w:left w:val="nil"/>
              <w:bottom w:val="nil"/>
              <w:right w:val="nil"/>
            </w:tcBorders>
            <w:shd w:val="clear" w:color="auto" w:fill="auto"/>
            <w:vAlign w:val="bottom"/>
            <w:hideMark/>
          </w:tcPr>
          <w:p w14:paraId="17E99869"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43.59***</w:t>
            </w:r>
          </w:p>
        </w:tc>
        <w:tc>
          <w:tcPr>
            <w:tcW w:w="0" w:type="auto"/>
            <w:tcBorders>
              <w:top w:val="nil"/>
              <w:left w:val="nil"/>
              <w:bottom w:val="nil"/>
              <w:right w:val="nil"/>
            </w:tcBorders>
            <w:shd w:val="clear" w:color="auto" w:fill="auto"/>
            <w:vAlign w:val="bottom"/>
            <w:hideMark/>
          </w:tcPr>
          <w:p w14:paraId="7788A837"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63.09***</w:t>
            </w:r>
          </w:p>
        </w:tc>
        <w:tc>
          <w:tcPr>
            <w:tcW w:w="0" w:type="auto"/>
            <w:tcBorders>
              <w:top w:val="nil"/>
              <w:left w:val="nil"/>
              <w:bottom w:val="nil"/>
              <w:right w:val="nil"/>
            </w:tcBorders>
            <w:shd w:val="clear" w:color="auto" w:fill="auto"/>
            <w:vAlign w:val="bottom"/>
            <w:hideMark/>
          </w:tcPr>
          <w:p w14:paraId="50AA4F6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28.70***</w:t>
            </w:r>
          </w:p>
        </w:tc>
      </w:tr>
      <w:tr w:rsidR="00782AD4" w:rsidRPr="00782AD4" w14:paraId="28C4E5FC" w14:textId="77777777" w:rsidTr="00782AD4">
        <w:tc>
          <w:tcPr>
            <w:tcW w:w="0" w:type="auto"/>
            <w:tcBorders>
              <w:top w:val="nil"/>
              <w:left w:val="nil"/>
              <w:bottom w:val="nil"/>
              <w:right w:val="nil"/>
            </w:tcBorders>
            <w:shd w:val="clear" w:color="auto" w:fill="auto"/>
            <w:vAlign w:val="bottom"/>
            <w:hideMark/>
          </w:tcPr>
          <w:p w14:paraId="2541FB12"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R</w:t>
            </w:r>
            <w:r w:rsidRPr="00782AD4">
              <w:rPr>
                <w:rFonts w:ascii="Helvetica" w:eastAsia="Times New Roman" w:hAnsi="Helvetica" w:cs="Times New Roman"/>
                <w:color w:val="333333"/>
                <w:bdr w:val="none" w:sz="0" w:space="0" w:color="auto" w:frame="1"/>
                <w:vertAlign w:val="superscript"/>
              </w:rPr>
              <w:t>2</w:t>
            </w:r>
          </w:p>
        </w:tc>
        <w:tc>
          <w:tcPr>
            <w:tcW w:w="0" w:type="auto"/>
            <w:tcBorders>
              <w:top w:val="nil"/>
              <w:left w:val="nil"/>
              <w:bottom w:val="nil"/>
              <w:right w:val="nil"/>
            </w:tcBorders>
            <w:shd w:val="clear" w:color="auto" w:fill="auto"/>
            <w:vAlign w:val="bottom"/>
            <w:hideMark/>
          </w:tcPr>
          <w:p w14:paraId="6F49AF3D"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0.64</w:t>
            </w:r>
          </w:p>
        </w:tc>
        <w:tc>
          <w:tcPr>
            <w:tcW w:w="0" w:type="auto"/>
            <w:tcBorders>
              <w:top w:val="nil"/>
              <w:left w:val="nil"/>
              <w:bottom w:val="nil"/>
              <w:right w:val="nil"/>
            </w:tcBorders>
            <w:shd w:val="clear" w:color="auto" w:fill="auto"/>
            <w:vAlign w:val="bottom"/>
            <w:hideMark/>
          </w:tcPr>
          <w:p w14:paraId="78D49ED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0.70</w:t>
            </w:r>
          </w:p>
        </w:tc>
        <w:tc>
          <w:tcPr>
            <w:tcW w:w="0" w:type="auto"/>
            <w:tcBorders>
              <w:top w:val="nil"/>
              <w:left w:val="nil"/>
              <w:bottom w:val="nil"/>
              <w:right w:val="nil"/>
            </w:tcBorders>
            <w:shd w:val="clear" w:color="auto" w:fill="auto"/>
            <w:vAlign w:val="bottom"/>
            <w:hideMark/>
          </w:tcPr>
          <w:p w14:paraId="0FDF46C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0.77</w:t>
            </w:r>
          </w:p>
        </w:tc>
        <w:tc>
          <w:tcPr>
            <w:tcW w:w="0" w:type="auto"/>
            <w:tcBorders>
              <w:top w:val="nil"/>
              <w:left w:val="nil"/>
              <w:bottom w:val="nil"/>
              <w:right w:val="nil"/>
            </w:tcBorders>
            <w:shd w:val="clear" w:color="auto" w:fill="auto"/>
            <w:vAlign w:val="bottom"/>
            <w:hideMark/>
          </w:tcPr>
          <w:p w14:paraId="03A9EBBA"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0.63</w:t>
            </w:r>
          </w:p>
        </w:tc>
      </w:tr>
      <w:tr w:rsidR="00782AD4" w:rsidRPr="00782AD4" w14:paraId="13ED524B" w14:textId="77777777" w:rsidTr="00782AD4">
        <w:tc>
          <w:tcPr>
            <w:tcW w:w="0" w:type="auto"/>
            <w:tcBorders>
              <w:top w:val="nil"/>
              <w:left w:val="nil"/>
              <w:bottom w:val="nil"/>
              <w:right w:val="nil"/>
            </w:tcBorders>
            <w:shd w:val="clear" w:color="auto" w:fill="auto"/>
            <w:vAlign w:val="bottom"/>
            <w:hideMark/>
          </w:tcPr>
          <w:p w14:paraId="24B7BCDB"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p-value for F-test: CIC coef. &gt; CTC coef.</w:t>
            </w:r>
          </w:p>
        </w:tc>
        <w:tc>
          <w:tcPr>
            <w:tcW w:w="0" w:type="auto"/>
            <w:tcBorders>
              <w:top w:val="nil"/>
              <w:left w:val="nil"/>
              <w:bottom w:val="nil"/>
              <w:right w:val="nil"/>
            </w:tcBorders>
            <w:shd w:val="clear" w:color="auto" w:fill="auto"/>
            <w:vAlign w:val="bottom"/>
            <w:hideMark/>
          </w:tcPr>
          <w:p w14:paraId="37D4DBE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7C04E53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p &lt; 0.01</w:t>
            </w:r>
          </w:p>
        </w:tc>
        <w:tc>
          <w:tcPr>
            <w:tcW w:w="0" w:type="auto"/>
            <w:tcBorders>
              <w:top w:val="nil"/>
              <w:left w:val="nil"/>
              <w:bottom w:val="nil"/>
              <w:right w:val="nil"/>
            </w:tcBorders>
            <w:shd w:val="clear" w:color="auto" w:fill="auto"/>
            <w:vAlign w:val="bottom"/>
            <w:hideMark/>
          </w:tcPr>
          <w:p w14:paraId="62D94C16"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4548C654"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r>
      <w:tr w:rsidR="00782AD4" w:rsidRPr="00782AD4" w14:paraId="1BE55644" w14:textId="77777777" w:rsidTr="00782AD4">
        <w:tc>
          <w:tcPr>
            <w:tcW w:w="0" w:type="auto"/>
            <w:tcBorders>
              <w:top w:val="nil"/>
              <w:left w:val="nil"/>
              <w:bottom w:val="nil"/>
              <w:right w:val="nil"/>
            </w:tcBorders>
            <w:shd w:val="clear" w:color="auto" w:fill="auto"/>
            <w:vAlign w:val="bottom"/>
            <w:hideMark/>
          </w:tcPr>
          <w:p w14:paraId="127ACF8E"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p-value for F-test: CSPC coef. &gt; CIC coef.</w:t>
            </w:r>
          </w:p>
        </w:tc>
        <w:tc>
          <w:tcPr>
            <w:tcW w:w="0" w:type="auto"/>
            <w:tcBorders>
              <w:top w:val="nil"/>
              <w:left w:val="nil"/>
              <w:bottom w:val="nil"/>
              <w:right w:val="nil"/>
            </w:tcBorders>
            <w:shd w:val="clear" w:color="auto" w:fill="auto"/>
            <w:vAlign w:val="bottom"/>
            <w:hideMark/>
          </w:tcPr>
          <w:p w14:paraId="0C7938EE"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2189BABC"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c>
          <w:tcPr>
            <w:tcW w:w="0" w:type="auto"/>
            <w:tcBorders>
              <w:top w:val="nil"/>
              <w:left w:val="nil"/>
              <w:bottom w:val="nil"/>
              <w:right w:val="nil"/>
            </w:tcBorders>
            <w:shd w:val="clear" w:color="auto" w:fill="auto"/>
            <w:vAlign w:val="bottom"/>
            <w:hideMark/>
          </w:tcPr>
          <w:p w14:paraId="3BCD8195"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p &lt; 0.01</w:t>
            </w:r>
          </w:p>
        </w:tc>
        <w:tc>
          <w:tcPr>
            <w:tcW w:w="0" w:type="auto"/>
            <w:tcBorders>
              <w:top w:val="nil"/>
              <w:left w:val="nil"/>
              <w:bottom w:val="nil"/>
              <w:right w:val="nil"/>
            </w:tcBorders>
            <w:shd w:val="clear" w:color="auto" w:fill="auto"/>
            <w:vAlign w:val="bottom"/>
            <w:hideMark/>
          </w:tcPr>
          <w:p w14:paraId="55F10F50" w14:textId="77777777" w:rsidR="00782AD4" w:rsidRPr="00782AD4" w:rsidRDefault="00782AD4" w:rsidP="00782AD4">
            <w:pPr>
              <w:rPr>
                <w:rFonts w:ascii="Helvetica" w:eastAsia="Times New Roman" w:hAnsi="Helvetica" w:cs="Times New Roman"/>
                <w:color w:val="333333"/>
              </w:rPr>
            </w:pPr>
            <w:r w:rsidRPr="00782AD4">
              <w:rPr>
                <w:rFonts w:ascii="Helvetica" w:eastAsia="Times New Roman" w:hAnsi="Helvetica" w:cs="Times New Roman"/>
                <w:color w:val="333333"/>
              </w:rPr>
              <w:t>--</w:t>
            </w:r>
          </w:p>
        </w:tc>
      </w:tr>
    </w:tbl>
    <w:p w14:paraId="482B3F40" w14:textId="77777777" w:rsidR="00782AD4" w:rsidRPr="00782AD4" w:rsidRDefault="00782AD4" w:rsidP="00782AD4">
      <w:pPr>
        <w:rPr>
          <w:rFonts w:ascii="Times New Roman" w:eastAsia="Times New Roman" w:hAnsi="Times New Roman" w:cs="Times New Roman"/>
        </w:rPr>
      </w:pPr>
      <w:r w:rsidRPr="00782AD4">
        <w:rPr>
          <w:rFonts w:ascii="Helvetica" w:eastAsia="Times New Roman" w:hAnsi="Helvetica" w:cs="Times New Roman"/>
          <w:i/>
          <w:iCs/>
          <w:color w:val="333333"/>
          <w:bdr w:val="none" w:sz="0" w:space="0" w:color="auto" w:frame="1"/>
        </w:rPr>
        <w:t>Notes: N</w:t>
      </w:r>
      <w:r w:rsidRPr="00782AD4">
        <w:rPr>
          <w:rFonts w:ascii="Helvetica" w:eastAsia="Times New Roman" w:hAnsi="Helvetica" w:cs="Times New Roman"/>
          <w:color w:val="333333"/>
        </w:rPr>
        <w:t> = 147; standard errors in parentheses; signif.: ***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0.05, *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0.10; coefficients of control variables and constant omitted for brevity. For Models 2-4, each independent variable is orthogonalized on each of the other independent variable constructs as in prior research [71, 74, 75]. For example, in Model 4, each of </w:t>
      </w:r>
      <w:r w:rsidRPr="00782AD4">
        <w:rPr>
          <w:rFonts w:ascii="Helvetica" w:eastAsia="Times New Roman" w:hAnsi="Helvetica" w:cs="Times New Roman"/>
          <w:i/>
          <w:iCs/>
          <w:color w:val="333333"/>
          <w:bdr w:val="none" w:sz="0" w:space="0" w:color="auto" w:frame="1"/>
        </w:rPr>
        <w:t>CIC, CSPC</w:t>
      </w:r>
      <w:r w:rsidRPr="00782AD4">
        <w:rPr>
          <w:rFonts w:ascii="Helvetica" w:eastAsia="Times New Roman" w:hAnsi="Helvetica" w:cs="Times New Roman"/>
          <w:color w:val="333333"/>
        </w:rPr>
        <w:t>, and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Flexibility</w:t>
      </w:r>
      <w:r w:rsidRPr="00782AD4">
        <w:rPr>
          <w:rFonts w:ascii="Helvetica" w:eastAsia="Times New Roman" w:hAnsi="Helvetica" w:cs="Times New Roman"/>
          <w:color w:val="333333"/>
        </w:rPr>
        <w:t> are orthogonalized on each other. For Model 1,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was orthogonalized on the control variables.</w:t>
      </w:r>
    </w:p>
    <w:p w14:paraId="3E265E3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We also conducted a proxy test for the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appropriation path</w:t>
      </w:r>
      <w:r w:rsidRPr="00782AD4">
        <w:rPr>
          <w:rFonts w:ascii="Helvetica" w:eastAsia="Times New Roman" w:hAnsi="Helvetica" w:cs="Times New Roman"/>
          <w:color w:val="333333"/>
        </w:rPr>
        <w:t> in the regression models using orthogonalized variables. For this, we used </w:t>
      </w:r>
      <w:r w:rsidRPr="00782AD4">
        <w:rPr>
          <w:rFonts w:ascii="Helvetica" w:eastAsia="Times New Roman" w:hAnsi="Helvetica" w:cs="Times New Roman"/>
          <w:i/>
          <w:iCs/>
          <w:color w:val="333333"/>
          <w:bdr w:val="none" w:sz="0" w:space="0" w:color="auto" w:frame="1"/>
        </w:rPr>
        <w:t>F</w:t>
      </w:r>
      <w:r w:rsidRPr="00782AD4">
        <w:rPr>
          <w:rFonts w:ascii="Helvetica" w:eastAsia="Times New Roman" w:hAnsi="Helvetica" w:cs="Times New Roman"/>
          <w:color w:val="333333"/>
        </w:rPr>
        <w:t>-tests to compare the respective regression coefficients. In Column 2, we find that the coefficient of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xml:space="preserve"> is </w:t>
      </w:r>
      <w:r w:rsidRPr="00782AD4">
        <w:rPr>
          <w:rFonts w:ascii="Helvetica" w:eastAsia="Times New Roman" w:hAnsi="Helvetica" w:cs="Times New Roman"/>
          <w:color w:val="333333"/>
        </w:rPr>
        <w:lastRenderedPageBreak/>
        <w:t>significantly higher than the coefficient of </w:t>
      </w:r>
      <w:r w:rsidRPr="00782AD4">
        <w:rPr>
          <w:rFonts w:ascii="Helvetica" w:eastAsia="Times New Roman" w:hAnsi="Helvetica" w:cs="Times New Roman"/>
          <w:i/>
          <w:iCs/>
          <w:color w:val="333333"/>
          <w:bdr w:val="none" w:sz="0" w:space="0" w:color="auto" w:frame="1"/>
        </w:rPr>
        <w:t>CTC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In Column 3, the coefficient of </w:t>
      </w:r>
      <w:r w:rsidRPr="00782AD4">
        <w:rPr>
          <w:rFonts w:ascii="Helvetica" w:eastAsia="Times New Roman" w:hAnsi="Helvetica" w:cs="Times New Roman"/>
          <w:i/>
          <w:iCs/>
          <w:color w:val="333333"/>
          <w:bdr w:val="none" w:sz="0" w:space="0" w:color="auto" w:frame="1"/>
        </w:rPr>
        <w:t>CSPC</w:t>
      </w:r>
      <w:r w:rsidRPr="00782AD4">
        <w:rPr>
          <w:rFonts w:ascii="Helvetica" w:eastAsia="Times New Roman" w:hAnsi="Helvetica" w:cs="Times New Roman"/>
          <w:color w:val="333333"/>
        </w:rPr>
        <w:t> is higher than the coefficient of </w:t>
      </w:r>
      <w:r w:rsidRPr="00782AD4">
        <w:rPr>
          <w:rFonts w:ascii="Helvetica" w:eastAsia="Times New Roman" w:hAnsi="Helvetica" w:cs="Times New Roman"/>
          <w:i/>
          <w:iCs/>
          <w:color w:val="333333"/>
          <w:bdr w:val="none" w:sz="0" w:space="0" w:color="auto" w:frame="1"/>
        </w:rPr>
        <w:t>CIC</w:t>
      </w:r>
      <w:r w:rsidRPr="00782AD4">
        <w:rPr>
          <w:rFonts w:ascii="Helvetica" w:eastAsia="Times New Roman" w:hAnsi="Helvetica" w:cs="Times New Roman"/>
          <w:color w:val="333333"/>
        </w:rPr>
        <w:t> (</w:t>
      </w:r>
      <w:r w:rsidRPr="00782AD4">
        <w:rPr>
          <w:rFonts w:ascii="Helvetica" w:eastAsia="Times New Roman" w:hAnsi="Helvetica" w:cs="Times New Roman"/>
          <w:i/>
          <w:iCs/>
          <w:color w:val="333333"/>
          <w:bdr w:val="none" w:sz="0" w:space="0" w:color="auto" w:frame="1"/>
        </w:rPr>
        <w:t>p</w:t>
      </w:r>
      <w:r w:rsidRPr="00782AD4">
        <w:rPr>
          <w:rFonts w:ascii="Helvetica" w:eastAsia="Times New Roman" w:hAnsi="Helvetica" w:cs="Times New Roman"/>
          <w:color w:val="333333"/>
        </w:rPr>
        <w:t> &lt; 0.01). These findings support our PLS model findings regarding the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appropriation path</w:t>
      </w:r>
      <w:r w:rsidRPr="00782AD4">
        <w:rPr>
          <w:rFonts w:ascii="Helvetica" w:eastAsia="Times New Roman" w:hAnsi="Helvetica" w:cs="Times New Roman"/>
          <w:color w:val="333333"/>
        </w:rPr>
        <w:t>. Regression results of the unorthogonalized variables (omitted for brevity) are similarly consistent with the PLS results. Overall, the regression results using orthogonalized variables strengthen our findings.</w:t>
      </w:r>
    </w:p>
    <w:p w14:paraId="60F8D691"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54" w:anchor="toc" w:tooltip="Discussion" w:history="1">
        <w:r w:rsidRPr="00782AD4">
          <w:rPr>
            <w:rFonts w:ascii="Helvetica" w:eastAsia="Times New Roman" w:hAnsi="Helvetica" w:cs="Times New Roman"/>
            <w:b/>
            <w:bCs/>
            <w:color w:val="005BC6"/>
            <w:bdr w:val="none" w:sz="0" w:space="0" w:color="auto" w:frame="1"/>
          </w:rPr>
          <w:t>Discussion</w:t>
        </w:r>
      </w:hyperlink>
    </w:p>
    <w:p w14:paraId="454C652C" w14:textId="77777777" w:rsidR="00782AD4" w:rsidRPr="00782AD4" w:rsidRDefault="00782AD4" w:rsidP="00782AD4">
      <w:pPr>
        <w:textAlignment w:val="baseline"/>
        <w:outlineLvl w:val="2"/>
        <w:rPr>
          <w:rFonts w:ascii="Helvetica" w:eastAsia="Times New Roman" w:hAnsi="Helvetica" w:cs="Times New Roman"/>
          <w:b/>
          <w:bCs/>
          <w:color w:val="333333"/>
        </w:rPr>
      </w:pPr>
      <w:hyperlink r:id="rId55" w:anchor="toc" w:tooltip="Overview of Key Findings" w:history="1">
        <w:r w:rsidRPr="00782AD4">
          <w:rPr>
            <w:rFonts w:ascii="Helvetica" w:eastAsia="Times New Roman" w:hAnsi="Helvetica" w:cs="Times New Roman"/>
            <w:b/>
            <w:bCs/>
            <w:color w:val="005BC6"/>
            <w:bdr w:val="none" w:sz="0" w:space="0" w:color="auto" w:frame="1"/>
          </w:rPr>
          <w:t>Overview of Key Findings</w:t>
        </w:r>
      </w:hyperlink>
    </w:p>
    <w:p w14:paraId="1ED2236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objective was to propose and validate a theory and a research model that yields managerial guidance based on a rigorously-specified theoretical foundation. We adopted a holistic yet fine-grained view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implementation for the creation of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in organizations. This study is pioneering in operationalizing and testing the main tenets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models, which represent the means to appropriate strategic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for the organization. Through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literature, and the dynamic capability hierarchy and operand-operant perspectives, we identified constructs that underlie a set of hypothesized linkages to explain its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-creating capacity, building on recent works on readiness assessment for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adoption [40].</w:t>
      </w:r>
    </w:p>
    <w:p w14:paraId="7EA5C94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work uncovered multiple capabilities involving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integration and service orientation that support the creation of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from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platform. We tested a set of set of sequential relationships relationships for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technology, integration and service capability,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flexibility, and firm performance. Our findings suggest that the synchronization and consistency capabilities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yield a firm's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-enabled services portfolio capability. This, in turn, leads to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flexibility and performance. Our results also hint that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models must evolve from an artifact-focused view to an integrative, service-oriented view. Embedding such considerations in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strategies will improve firm performance.</w:t>
      </w:r>
    </w:p>
    <w:p w14:paraId="3927FAAB"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results further suggest that the firm may benefit most when it moves along the most-desired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appropriation path</w:t>
      </w:r>
      <w:r w:rsidRPr="00782AD4">
        <w:rPr>
          <w:rFonts w:ascii="Helvetica" w:eastAsia="Times New Roman" w:hAnsi="Helvetica" w:cs="Times New Roman"/>
          <w:color w:val="333333"/>
        </w:rPr>
        <w:t>, which is an important new revelation. This path in our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integration model is a finding with a high surprise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we did not hypothesize the possibility that such a path might have the greatest statistical effect, yet still, we observed it. Future work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build on this finding by identifying and testing mechanisms to explain why this path may be beneficial in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technology in a firm. Such analyses may entail use of other interdisciplinary qualitative and quantitative methods such as case studies or sector studies, and new opportunities are emerging in this area.</w:t>
      </w:r>
    </w:p>
    <w:p w14:paraId="4DC8436B"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technology deployments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help firms by enhancing, extending, and redefining their physical and traditional products and services through an integrative approach.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attributed to its ability to reshape the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propositions that customers will benefit from, and yield improved performance and revenue streams for organizations.</w:t>
      </w:r>
    </w:p>
    <w:p w14:paraId="16CF3CC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Some of these aspects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xml:space="preserve">-driven performance are seen in just-in-time access and service delivery, like the Internet channel for streaming movies and music. Recent digital transformation involving mobility and social media have created impetus for firms </w:t>
      </w:r>
      <w:r w:rsidRPr="00782AD4">
        <w:rPr>
          <w:rFonts w:ascii="Helvetica" w:eastAsia="Times New Roman" w:hAnsi="Helvetica" w:cs="Times New Roman"/>
          <w:color w:val="333333"/>
        </w:rPr>
        <w:lastRenderedPageBreak/>
        <w:t>to adopt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services to address issues with customer expectations and to deliver on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propositions. Some consumer-focused industries are expecting a shift toward creation of more digital content with higher service digitization, and deeper, more comprehensive digital processes as a result [73, 81]. Managing them with third-party service and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platforms will be challenging due to the lack of standards and interoperability. The most popular approaches involve co-creating new services, applications, and content through alliances. Our findings suggest that, by building service-oriented and integrated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platform capabilities, firms will realize the potential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with a service-oriented approach [ </w:t>
      </w:r>
      <w:hyperlink r:id="rId56" w:anchor="bib4" w:tooltip="4" w:history="1">
        <w:r w:rsidRPr="00782AD4">
          <w:rPr>
            <w:rFonts w:ascii="Helvetica" w:eastAsia="Times New Roman" w:hAnsi="Helvetica" w:cs="Times New Roman"/>
            <w:color w:val="005BC6"/>
            <w:bdr w:val="none" w:sz="0" w:space="0" w:color="auto" w:frame="1"/>
          </w:rPr>
          <w:t>4</w:t>
        </w:r>
      </w:hyperlink>
      <w:r w:rsidRPr="00782AD4">
        <w:rPr>
          <w:rFonts w:ascii="Helvetica" w:eastAsia="Times New Roman" w:hAnsi="Helvetica" w:cs="Times New Roman"/>
          <w:color w:val="333333"/>
        </w:rPr>
        <w:t>, 22].</w:t>
      </w:r>
    </w:p>
    <w:p w14:paraId="275BA77D"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57" w:anchor="toc" w:tooltip="Contributions to Research" w:history="1">
        <w:r w:rsidRPr="00782AD4">
          <w:rPr>
            <w:rFonts w:ascii="Helvetica" w:eastAsia="Times New Roman" w:hAnsi="Helvetica" w:cs="Times New Roman"/>
            <w:b/>
            <w:bCs/>
            <w:color w:val="005BC6"/>
            <w:bdr w:val="none" w:sz="0" w:space="0" w:color="auto" w:frame="1"/>
          </w:rPr>
          <w:t>Contributions to Research</w:t>
        </w:r>
      </w:hyperlink>
    </w:p>
    <w:p w14:paraId="0235304B"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This study offers several contributions to IS research. First, it adds to the sparse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literature. There are few research studies that examine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from a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perspective, as this space has been dominated by a focus on technological issues. By identifying key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capabilities, our study contributes to a deeper "understanding of the interplay between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capabilities and its transformative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in the spirit of the earlier research.</w:t>
      </w:r>
    </w:p>
    <w:p w14:paraId="4D8A6478"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Second, our study contributes by applying recent advances in operand-operant resource and capability hierarchy thinking for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It highlights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different types of operant resources need to be developed in the pathway for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This informs IS researchers in a meaningful way: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is not just about infrastructure changes. The combinations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capabilities are the most important factors. An implication for IS research is to apply operand-operant resource concepts to other areas. For example, there is a need to examine the role of IT as an operant resource in areas of product and service innovation [62], which is a promising direction.</w:t>
      </w:r>
    </w:p>
    <w:p w14:paraId="513D246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Third, our study suggests that there is a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appropriation path</w:t>
      </w:r>
      <w:r w:rsidRPr="00782AD4">
        <w:rPr>
          <w:rFonts w:ascii="Helvetica" w:eastAsia="Times New Roman" w:hAnsi="Helvetica" w:cs="Times New Roman"/>
          <w:color w:val="333333"/>
        </w:rPr>
        <w:t>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implementation to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Our work delivers on the need to examine paths from IT capabilities to economic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Our finding of such a path for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technology contributes to developing theory for "what are the indirect paths to economic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that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influenced by information and IT capabilities" [43, p. 29]. It moves the research forward to identifying and testing mechanisms that explain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to make it feasible for firms to follow this path so as to further </w:t>
      </w:r>
      <w:r w:rsidRPr="00782AD4">
        <w:rPr>
          <w:rFonts w:ascii="Helvetica" w:eastAsia="Times New Roman" w:hAnsi="Helvetica" w:cs="Times New Roman"/>
          <w:b/>
          <w:bCs/>
          <w:color w:val="333333"/>
          <w:bdr w:val="none" w:sz="0" w:space="0" w:color="auto" w:frame="1"/>
        </w:rPr>
        <w:t>enhance</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creation using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technologies. It will be beneficial to reconsider the kinds of contexts that we studied by developing more fully an approach to empirical research inquiry that more comprehensively assesses sequential dependence as well as intertemporal causality.</w:t>
      </w:r>
    </w:p>
    <w:p w14:paraId="31AAD8A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Fourth, our study fills the gap in research on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integration with legacy systems. Our findings stress that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integration with legacy systems is an important means for service capabilities,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flexibility and performance to be enabled. The broader IT governance literature has used </w:t>
      </w:r>
      <w:r w:rsidRPr="00782AD4">
        <w:rPr>
          <w:rFonts w:ascii="Helvetica" w:eastAsia="Times New Roman" w:hAnsi="Helvetica" w:cs="Times New Roman"/>
          <w:b/>
          <w:bCs/>
          <w:color w:val="333333"/>
          <w:bdr w:val="none" w:sz="0" w:space="0" w:color="auto" w:frame="1"/>
        </w:rPr>
        <w:t>cloudcomputing</w:t>
      </w:r>
      <w:r w:rsidRPr="00782AD4">
        <w:rPr>
          <w:rFonts w:ascii="Helvetica" w:eastAsia="Times New Roman" w:hAnsi="Helvetica" w:cs="Times New Roman"/>
          <w:color w:val="333333"/>
        </w:rPr>
        <w:t> as an exemplar of modular architectures that </w:t>
      </w:r>
      <w:r w:rsidRPr="00782AD4">
        <w:rPr>
          <w:rFonts w:ascii="Helvetica" w:eastAsia="Times New Roman" w:hAnsi="Helvetica" w:cs="Times New Roman"/>
          <w:b/>
          <w:bCs/>
          <w:color w:val="333333"/>
          <w:bdr w:val="none" w:sz="0" w:space="0" w:color="auto" w:frame="1"/>
        </w:rPr>
        <w:t>enhance</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outcomes [16, 93]. Our approach to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capabilities provides insights into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and when such architectures create benefits.[21]</w:t>
      </w:r>
    </w:p>
    <w:p w14:paraId="0246C9A7"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58" w:anchor="toc" w:tooltip="Implications for Practice" w:history="1">
        <w:r w:rsidRPr="00782AD4">
          <w:rPr>
            <w:rFonts w:ascii="Helvetica" w:eastAsia="Times New Roman" w:hAnsi="Helvetica" w:cs="Times New Roman"/>
            <w:b/>
            <w:bCs/>
            <w:color w:val="005BC6"/>
            <w:bdr w:val="none" w:sz="0" w:space="0" w:color="auto" w:frame="1"/>
          </w:rPr>
          <w:t>Implications for Practice</w:t>
        </w:r>
      </w:hyperlink>
    </w:p>
    <w:p w14:paraId="70B2C19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lastRenderedPageBreak/>
        <w:t>Our study has four practical implications. First, as technologies mature,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-enabled organizations and their embedded systems will have a salient role in driving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so the benefits of service-oriented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solutions need to come together [88]. This has been difficult, in part because it is a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-oriented</w:t>
      </w:r>
      <w:r w:rsidRPr="00782AD4">
        <w:rPr>
          <w:rFonts w:ascii="Helvetica" w:eastAsia="Times New Roman" w:hAnsi="Helvetica" w:cs="Times New Roman"/>
          <w:color w:val="333333"/>
        </w:rPr>
        <w:t>, not a </w:t>
      </w:r>
      <w:r w:rsidRPr="00782AD4">
        <w:rPr>
          <w:rFonts w:ascii="Helvetica" w:eastAsia="Times New Roman" w:hAnsi="Helvetica" w:cs="Times New Roman"/>
          <w:i/>
          <w:iCs/>
          <w:color w:val="333333"/>
          <w:bdr w:val="none" w:sz="0" w:space="0" w:color="auto" w:frame="1"/>
        </w:rPr>
        <w:t>systems-oriented approach</w:t>
      </w:r>
      <w:r w:rsidRPr="00782AD4">
        <w:rPr>
          <w:rFonts w:ascii="Helvetica" w:eastAsia="Times New Roman" w:hAnsi="Helvetica" w:cs="Times New Roman"/>
          <w:color w:val="333333"/>
        </w:rPr>
        <w:t>. Current systems are framed around shifting of loads from local systems to remote servers and enabling an access, control, and monitoring mechanism to serve local system users. Practitioners' understanding of the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view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as well as key services and service-enabled functions that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enabled through this shift, are limited. Our study contributes new foundations for understanding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to reliably appropriate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w:t>
      </w:r>
    </w:p>
    <w:p w14:paraId="14BA9BD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model complements existing viewpoints that explain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performance from an operational and technology-oriented perspective. Prior studies examined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performance through metrics such as system availability, reliability, response time, bandwidth, and latency. Indeed, much of the motivation for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adoption is based on these performance metrics or on </w:t>
      </w:r>
      <w:r w:rsidRPr="00782AD4">
        <w:rPr>
          <w:rFonts w:ascii="Helvetica" w:eastAsia="Times New Roman" w:hAnsi="Helvetica" w:cs="Times New Roman"/>
          <w:i/>
          <w:iCs/>
          <w:color w:val="333333"/>
          <w:bdr w:val="none" w:sz="0" w:space="0" w:color="auto" w:frame="1"/>
        </w:rPr>
        <w:t>cost arbitrage</w:t>
      </w:r>
      <w:r w:rsidRPr="00782AD4">
        <w:rPr>
          <w:rFonts w:ascii="Helvetica" w:eastAsia="Times New Roman" w:hAnsi="Helvetica" w:cs="Times New Roman"/>
          <w:color w:val="333333"/>
        </w:rPr>
        <w:t>—by reducing the recurring costs of engineering, management, and support activities—plus physical infrastructure. These dimensions are surely important, but practitioners understand less regarding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reoriented to achieve service delivery and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process alignment for better firm performance. Our study suggests that by achieving consistency and synchronization between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and legacy data and functionality, firms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ensure that data from legacy systems (e.g., ERP) are available to users (e.g., salespersons) anywhere and flexibly via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This makes firms'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processes that are impacted by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(e.g., sales) more adaptable for change. This is due to scalability and elasticity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systems to keep up or align with changing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processes. Other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outcomes may include considerations such as customer satisfaction due to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services.</w:t>
      </w:r>
    </w:p>
    <w:p w14:paraId="55F9AF52"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Finally, we find that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capabilities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leveraged for service-oriented decision support, and extending the firm's service portfolio. For instance, for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intelligence and analytics using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resources, it is increasingly recognized that they are appropriate for data processing as well as for next-generation analytical applications. The information exchanged with legacy systems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enable the firm to expand its service portfolio by helping managers to understand their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better and support timely decision-making. This strengthens the organization's potential for designing and developing innovative data, information and analytics services faster and more effectively.</w:t>
      </w:r>
    </w:p>
    <w:p w14:paraId="66C7AE4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finding related to the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appropriation path</w:t>
      </w:r>
      <w:r w:rsidRPr="00782AD4">
        <w:rPr>
          <w:rFonts w:ascii="Helvetica" w:eastAsia="Times New Roman" w:hAnsi="Helvetica" w:cs="Times New Roman"/>
          <w:color w:val="333333"/>
        </w:rPr>
        <w:t> offers rich guidance to practitioners. Our results suggest that managers need to track and develop an appropriate and effective set of capabilities such that the implementation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will lead to the firm's appropriation of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The findings reveal the relative importance of different intrafirm actions that will help to create the appropriate service operations "sockets" that the firm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use to activate the transformation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services to create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for the firm. We note that not all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-related capabilities are created equal in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xml:space="preserve"> terms. Each of the capabilities may differentially </w:t>
      </w:r>
      <w:r w:rsidRPr="00782AD4">
        <w:rPr>
          <w:rFonts w:ascii="Helvetica" w:eastAsia="Times New Roman" w:hAnsi="Helvetica" w:cs="Times New Roman"/>
          <w:color w:val="333333"/>
        </w:rPr>
        <w:lastRenderedPageBreak/>
        <w:t>support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appropriation. We further suggest that it may be apt to undertake a "3M strategy" to </w:t>
      </w:r>
      <w:r w:rsidRPr="00782AD4">
        <w:rPr>
          <w:rFonts w:ascii="Helvetica" w:eastAsia="Times New Roman" w:hAnsi="Helvetica" w:cs="Times New Roman"/>
          <w:i/>
          <w:iCs/>
          <w:color w:val="333333"/>
          <w:bdr w:val="none" w:sz="0" w:space="0" w:color="auto" w:frame="1"/>
        </w:rPr>
        <w:t>measure, monitor and manage</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implementation such that there are no major roadblocks in a capability area that causes some diminution of the potential for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appropriation. Finally, our results indicate the importance of exploring new ways to tailor our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appropriation path-related constructs so the method will be robust to application in different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sector and operating contexts.</w:t>
      </w:r>
    </w:p>
    <w:p w14:paraId="1576FE8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Overall, our results further imply: ( </w:t>
      </w:r>
      <w:hyperlink r:id="rId59" w:anchor="bib1" w:tooltip="1" w:history="1">
        <w:r w:rsidRPr="00782AD4">
          <w:rPr>
            <w:rFonts w:ascii="Helvetica" w:eastAsia="Times New Roman" w:hAnsi="Helvetica" w:cs="Times New Roman"/>
            <w:color w:val="005BC6"/>
            <w:bdr w:val="none" w:sz="0" w:space="0" w:color="auto" w:frame="1"/>
          </w:rPr>
          <w:t>1</w:t>
        </w:r>
      </w:hyperlink>
      <w:r w:rsidRPr="00782AD4">
        <w:rPr>
          <w:rFonts w:ascii="Helvetica" w:eastAsia="Times New Roman" w:hAnsi="Helvetica" w:cs="Times New Roman"/>
          <w:color w:val="333333"/>
        </w:rPr>
        <w:t>) the constructs that we identified are informative and useful for practice; ( </w:t>
      </w:r>
      <w:hyperlink r:id="rId60" w:anchor="bib2" w:tooltip="2" w:history="1">
        <w:r w:rsidRPr="00782AD4">
          <w:rPr>
            <w:rFonts w:ascii="Helvetica" w:eastAsia="Times New Roman" w:hAnsi="Helvetica" w:cs="Times New Roman"/>
            <w:color w:val="005BC6"/>
            <w:bdr w:val="none" w:sz="0" w:space="0" w:color="auto" w:frame="1"/>
          </w:rPr>
          <w:t>2</w:t>
        </w:r>
      </w:hyperlink>
      <w:r w:rsidRPr="00782AD4">
        <w:rPr>
          <w:rFonts w:ascii="Helvetica" w:eastAsia="Times New Roman" w:hAnsi="Helvetica" w:cs="Times New Roman"/>
          <w:color w:val="333333"/>
        </w:rPr>
        <w:t>) the ideas related to the operand-operant hierarchical resources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offer a useful basis for inventorying organizational capabilities to appropriate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from the implementation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and ( </w:t>
      </w:r>
      <w:hyperlink r:id="rId61" w:anchor="bib3" w:tooltip="3" w:history="1">
        <w:r w:rsidRPr="00782AD4">
          <w:rPr>
            <w:rFonts w:ascii="Helvetica" w:eastAsia="Times New Roman" w:hAnsi="Helvetica" w:cs="Times New Roman"/>
            <w:color w:val="005BC6"/>
            <w:bdr w:val="none" w:sz="0" w:space="0" w:color="auto" w:frame="1"/>
          </w:rPr>
          <w:t>3</w:t>
        </w:r>
      </w:hyperlink>
      <w:r w:rsidRPr="00782AD4">
        <w:rPr>
          <w:rFonts w:ascii="Helvetica" w:eastAsia="Times New Roman" w:hAnsi="Helvetica" w:cs="Times New Roman"/>
          <w:color w:val="333333"/>
        </w:rPr>
        <w:t>) if there is a sense in a firm that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appropriation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is less than best, the understanding gained from the model we tested will help assess the steps needed to improve performance supported via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resources and capabilities.</w:t>
      </w:r>
    </w:p>
    <w:p w14:paraId="110EE46C"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62" w:anchor="toc" w:tooltip="Limitations and Future Research" w:history="1">
        <w:r w:rsidRPr="00782AD4">
          <w:rPr>
            <w:rFonts w:ascii="Helvetica" w:eastAsia="Times New Roman" w:hAnsi="Helvetica" w:cs="Times New Roman"/>
            <w:b/>
            <w:bCs/>
            <w:color w:val="005BC6"/>
            <w:bdr w:val="none" w:sz="0" w:space="0" w:color="auto" w:frame="1"/>
          </w:rPr>
          <w:t>Limitations and Future Research</w:t>
        </w:r>
      </w:hyperlink>
    </w:p>
    <w:p w14:paraId="035DCE3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Although our work is based on strong theory, the cross-sectional nature of the empirical analysis hinders causal testing of intertemporal dependence, even though the basic capabilities are clearly required as the basis for forming other capabilities that develop from them (e.g.,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Technological Capability as a basis for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Service Portfolio Capability, and also for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Integration Capability, and similarly for latter capabilities as a basis for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Flexibility</w:t>
      </w:r>
      <w:r w:rsidRPr="00782AD4">
        <w:rPr>
          <w:rFonts w:ascii="Helvetica" w:eastAsia="Times New Roman" w:hAnsi="Helvetica" w:cs="Times New Roman"/>
          <w:color w:val="333333"/>
        </w:rPr>
        <w:t>). In particular, our design does not permit causal inferences to be made along the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appropriation path</w:t>
      </w:r>
      <w:r w:rsidRPr="00782AD4">
        <w:rPr>
          <w:rFonts w:ascii="Helvetica" w:eastAsia="Times New Roman" w:hAnsi="Helvetica" w:cs="Times New Roman"/>
          <w:color w:val="333333"/>
        </w:rPr>
        <w:t>. We call for further studies to assess sequential causality and generalize the work that we have done to pioneer the use of a model for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Second, the Indian ﬁrms in our sample were small and relatively new; they are hardly the complex organizations one thinks of as the kinds of firms that will likely benefit from </w:t>
      </w:r>
      <w:r w:rsidRPr="00782AD4">
        <w:rPr>
          <w:rFonts w:ascii="Helvetica" w:eastAsia="Times New Roman" w:hAnsi="Helvetica" w:cs="Times New Roman"/>
          <w:b/>
          <w:bCs/>
          <w:color w:val="333333"/>
          <w:bdr w:val="none" w:sz="0" w:space="0" w:color="auto" w:frame="1"/>
        </w:rPr>
        <w:t>cloudcomputing</w:t>
      </w:r>
      <w:r w:rsidRPr="00782AD4">
        <w:rPr>
          <w:rFonts w:ascii="Helvetica" w:eastAsia="Times New Roman" w:hAnsi="Helvetica" w:cs="Times New Roman"/>
          <w:color w:val="333333"/>
        </w:rPr>
        <w:t> in the long run. Our results may not generalize to firms of all sizes. To address this, we conducted post-hoc analysis of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the focal constructs differed across ﬁrm size and age.[22] The absence of statistical relationships suggests that these variables do not appear to bias the results. Finally, our study was done in India, where IT advances are somewhat less than that in developed economies, although growth is higher. This limits generalizability across nations.</w:t>
      </w:r>
    </w:p>
    <w:p w14:paraId="40BDCD2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As more firms embrace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future research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study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to accommodate emerging capabilities, such as crowdsourcing,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analytics, and machine intelligence support, to build synergy, deliver innovative and reliable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-based services, and create consistently high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We encourage capability research on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to integrate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and non-</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systems with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model innovations for processes that need to be integrated so fuller compatibility and interoperability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achieved.</w:t>
      </w:r>
    </w:p>
    <w:p w14:paraId="4C75417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Also, a prime study topic is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the relationships between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operant resources and a firm's digital capabilities vary across different settings in which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technologies are applied. In addition, although our study identifies and tests a set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capabilities, we recognize that this set of capabilities is not exhaustive of the entire domain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Future work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examine other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operant resource capabilities as mediators or moderators and other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xml:space="preserve"> outcomes. Such </w:t>
      </w:r>
      <w:r w:rsidRPr="00782AD4">
        <w:rPr>
          <w:rFonts w:ascii="Helvetica" w:eastAsia="Times New Roman" w:hAnsi="Helvetica" w:cs="Times New Roman"/>
          <w:color w:val="333333"/>
        </w:rPr>
        <w:lastRenderedPageBreak/>
        <w:t>a research agenda may shed light on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firm contexts create limits-to-</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for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and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to overcome them.</w:t>
      </w:r>
    </w:p>
    <w:p w14:paraId="495C5CD3"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Furthermore, this study was conducted in the context of client firms using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technologies without examining the vendor side. Future research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examine issues related to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appropriation from the perspective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client vendor exchanges, as Retana and colleagues [69] have done. Finally, it will be worthwhile to examine resource capabilities that offer potential theory to explain the gains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For example,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operant resources related to security management may help achieve better information security outcomes. Other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outcomes may include innovation and collaboration.</w:t>
      </w:r>
    </w:p>
    <w:p w14:paraId="7761DD25"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63" w:anchor="toc" w:tooltip="Conclusion" w:history="1">
        <w:r w:rsidRPr="00782AD4">
          <w:rPr>
            <w:rFonts w:ascii="Helvetica" w:eastAsia="Times New Roman" w:hAnsi="Helvetica" w:cs="Times New Roman"/>
            <w:b/>
            <w:bCs/>
            <w:color w:val="005BC6"/>
            <w:bdr w:val="none" w:sz="0" w:space="0" w:color="auto" w:frame="1"/>
          </w:rPr>
          <w:t>Conclusion</w:t>
        </w:r>
      </w:hyperlink>
    </w:p>
    <w:p w14:paraId="006DD420"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is an evolving field, and the lack of standards and interoperability creates ongoing challenges for organizations in deriving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from its implementation. We offer three takeaways as beacons for research and practice to understand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support performance enhancements.</w:t>
      </w:r>
    </w:p>
    <w:p w14:paraId="106F708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Our study suggests a need for a systems-oriented approach to maximize the benefits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The focus should be on exploring interdependencies between different organizational capabilities and their development, instead of just focusing on utilizing the technological advantages of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infrastructure. This study uses one such perspective for exploring the interdependencies between the capabilities by looking at their hierarchical relationships. However, because of the diversity, complexity and uncertainties in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there may be other combinations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-enabled organizational capabilities that will support appropriating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from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w:t>
      </w:r>
    </w:p>
    <w:p w14:paraId="1E3C6E32"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This study also provides guidance to practitioners for overcoming design, delivery, operational, and integration issues by identifying a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appropriation path</w:t>
      </w:r>
      <w:r w:rsidRPr="00782AD4">
        <w:rPr>
          <w:rFonts w:ascii="Helvetica" w:eastAsia="Times New Roman" w:hAnsi="Helvetica" w:cs="Times New Roman"/>
          <w:color w:val="333333"/>
        </w:rPr>
        <w:t> for leveraging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This path may become more germane in light of technological advancements, such as fog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It is likely that the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appropriation path</w:t>
      </w:r>
      <w:r w:rsidRPr="00782AD4">
        <w:rPr>
          <w:rFonts w:ascii="Helvetica" w:eastAsia="Times New Roman" w:hAnsi="Helvetica" w:cs="Times New Roman"/>
          <w:color w:val="333333"/>
        </w:rPr>
        <w:t> is not without obstacles. We call for research to study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firms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follow the </w:t>
      </w:r>
      <w:r w:rsidRPr="00782AD4">
        <w:rPr>
          <w:rFonts w:ascii="Helvetica" w:eastAsia="Times New Roman" w:hAnsi="Helvetica" w:cs="Times New Roman"/>
          <w:i/>
          <w:iCs/>
          <w:color w:val="333333"/>
          <w:bdr w:val="none" w:sz="0" w:space="0" w:color="auto" w:frame="1"/>
        </w:rPr>
        <w:t>strategic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appropriation path</w:t>
      </w:r>
      <w:r w:rsidRPr="00782AD4">
        <w:rPr>
          <w:rFonts w:ascii="Helvetica" w:eastAsia="Times New Roman" w:hAnsi="Helvetica" w:cs="Times New Roman"/>
          <w:color w:val="333333"/>
        </w:rPr>
        <w:t>while overcoming the inevitable obstacles.</w:t>
      </w:r>
    </w:p>
    <w:p w14:paraId="0F5C24E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Finally, the key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capabilities we noted provide opportunities for developing a richer agenda for IS researchers in this area. Follow-on work will open up a new, less distant horizon of opportunities in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use and management. This gives us a chance to study firm, market and economy-level processes that will drive transformation. To achieve the bright prospects on offer, researchers must develop new ways to partner with organizations. We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bring the newest research inquiries, and most effective theoretical and data analytics approaches, to understand </w:t>
      </w:r>
      <w:r w:rsidRPr="00782AD4">
        <w:rPr>
          <w:rFonts w:ascii="Helvetica" w:eastAsia="Times New Roman" w:hAnsi="Helvetica" w:cs="Times New Roman"/>
          <w:b/>
          <w:bCs/>
          <w:color w:val="333333"/>
          <w:bdr w:val="none" w:sz="0" w:space="0" w:color="auto" w:frame="1"/>
        </w:rPr>
        <w:t>how</w:t>
      </w:r>
      <w:r w:rsidRPr="00782AD4">
        <w:rPr>
          <w:rFonts w:ascii="Helvetica" w:eastAsia="Times New Roman" w:hAnsi="Helvetica" w:cs="Times New Roman"/>
          <w:color w:val="333333"/>
        </w:rPr>
        <w:t> the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will change firm performance. Bringing together theory perspectives, analysis approaches, and data analytics advances from the organizational, economic and technical disciplines will open up new ways to make research on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scientifically strong and exceptionally meaningful. Together with other articles in this special issue of Journal of Management Information Systems, it is interesting to travel on a road to the future of </w:t>
      </w:r>
      <w:r w:rsidRPr="00782AD4">
        <w:rPr>
          <w:rFonts w:ascii="Helvetica" w:eastAsia="Times New Roman" w:hAnsi="Helvetica" w:cs="Times New Roman"/>
          <w:b/>
          <w:bCs/>
          <w:color w:val="333333"/>
          <w:bdr w:val="none" w:sz="0" w:space="0" w:color="auto" w:frame="1"/>
        </w:rPr>
        <w:t>cloud</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computing</w:t>
      </w:r>
      <w:r w:rsidRPr="00782AD4">
        <w:rPr>
          <w:rFonts w:ascii="Helvetica" w:eastAsia="Times New Roman" w:hAnsi="Helvetica" w:cs="Times New Roman"/>
          <w:color w:val="333333"/>
        </w:rPr>
        <w:t> research which our community is collaboratively paving.</w:t>
      </w:r>
    </w:p>
    <w:p w14:paraId="5D00A4F8"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64" w:anchor="toc" w:tooltip="Acknowledgments" w:history="1">
        <w:r w:rsidRPr="00782AD4">
          <w:rPr>
            <w:rFonts w:ascii="Helvetica" w:eastAsia="Times New Roman" w:hAnsi="Helvetica" w:cs="Times New Roman"/>
            <w:b/>
            <w:bCs/>
            <w:color w:val="005BC6"/>
            <w:bdr w:val="none" w:sz="0" w:space="0" w:color="auto" w:frame="1"/>
          </w:rPr>
          <w:t>Acknowledgments</w:t>
        </w:r>
      </w:hyperlink>
    </w:p>
    <w:p w14:paraId="7CC5A7A0"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lastRenderedPageBreak/>
        <w:t>We thank the Guest Editors, Associate Editor, and the three reviewers for their helpful suggestions and insights during the review process. We thank Actuate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Consulting for the collaborative efforts of their team regarding data collection. We also thank Ai-Phuong Hoang at the School of Information Systems, Singapore Management University for helpful comments and research assistance. We are grateful to participants at the 2016 Americas Conference on Information Systems (AMCIS) for valuable comments on a preliminary version of this paper.</w:t>
      </w:r>
    </w:p>
    <w:p w14:paraId="45BCB271" w14:textId="77777777" w:rsidR="00782AD4" w:rsidRPr="00782AD4" w:rsidRDefault="00782AD4" w:rsidP="00782AD4">
      <w:pPr>
        <w:textAlignment w:val="baseline"/>
        <w:outlineLvl w:val="2"/>
        <w:rPr>
          <w:rFonts w:ascii="Helvetica" w:eastAsia="Times New Roman" w:hAnsi="Helvetica" w:cs="Times New Roman"/>
          <w:b/>
          <w:bCs/>
          <w:color w:val="333333"/>
          <w:bdr w:val="none" w:sz="0" w:space="0" w:color="auto" w:frame="1"/>
        </w:rPr>
      </w:pPr>
      <w:hyperlink r:id="rId65" w:anchor="toc" w:tooltip="Supplemental Material" w:history="1">
        <w:r w:rsidRPr="00782AD4">
          <w:rPr>
            <w:rFonts w:ascii="Helvetica" w:eastAsia="Times New Roman" w:hAnsi="Helvetica" w:cs="Times New Roman"/>
            <w:b/>
            <w:bCs/>
            <w:color w:val="005BC6"/>
            <w:bdr w:val="none" w:sz="0" w:space="0" w:color="auto" w:frame="1"/>
          </w:rPr>
          <w:t>Supplemental Material</w:t>
        </w:r>
      </w:hyperlink>
    </w:p>
    <w:p w14:paraId="731662B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Supplemental material for this </w:t>
      </w:r>
      <w:r w:rsidRPr="00782AD4">
        <w:rPr>
          <w:rFonts w:ascii="Helvetica" w:eastAsia="Times New Roman" w:hAnsi="Helvetica" w:cs="Times New Roman"/>
          <w:b/>
          <w:bCs/>
          <w:color w:val="333333"/>
          <w:bdr w:val="none" w:sz="0" w:space="0" w:color="auto" w:frame="1"/>
        </w:rPr>
        <w:t>article</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can</w:t>
      </w:r>
      <w:r w:rsidRPr="00782AD4">
        <w:rPr>
          <w:rFonts w:ascii="Helvetica" w:eastAsia="Times New Roman" w:hAnsi="Helvetica" w:cs="Times New Roman"/>
          <w:color w:val="333333"/>
        </w:rPr>
        <w:t> be accessed on the https://doi-org.libraryresources.columbiasouthern.edu/10.1080/07421222.2018.1481635.</w:t>
      </w:r>
    </w:p>
    <w:p w14:paraId="3CD5826F" w14:textId="77777777" w:rsidR="00782AD4" w:rsidRPr="00782AD4" w:rsidRDefault="00782AD4" w:rsidP="00782AD4">
      <w:pPr>
        <w:rPr>
          <w:rFonts w:ascii="Times New Roman" w:eastAsia="Times New Roman" w:hAnsi="Times New Roman" w:cs="Times New Roman"/>
        </w:rPr>
      </w:pPr>
      <w:hyperlink r:id="rId66" w:anchor="toc" w:tooltip=" NOTES  " w:history="1">
        <w:r w:rsidRPr="00782AD4">
          <w:rPr>
            <w:rFonts w:ascii="Helvetica" w:eastAsia="Times New Roman" w:hAnsi="Helvetica" w:cs="Times New Roman"/>
            <w:b/>
            <w:bCs/>
            <w:color w:val="005BC6"/>
            <w:bdr w:val="none" w:sz="0" w:space="0" w:color="auto" w:frame="1"/>
          </w:rPr>
          <w:t>NOTES </w:t>
        </w:r>
      </w:hyperlink>
    </w:p>
    <w:p w14:paraId="65F9BDA7" w14:textId="77777777" w:rsidR="00782AD4" w:rsidRPr="00782AD4" w:rsidRDefault="00782AD4" w:rsidP="00782AD4">
      <w:pPr>
        <w:textAlignment w:val="baseline"/>
        <w:rPr>
          <w:rFonts w:ascii="Helvetica" w:eastAsia="Times New Roman" w:hAnsi="Helvetica" w:cs="Times New Roman"/>
          <w:color w:val="333333"/>
        </w:rPr>
      </w:pPr>
      <w:hyperlink r:id="rId67" w:anchor="bib1up&#9;&#9;&#9;" w:tooltip="1" w:history="1">
        <w:r w:rsidRPr="00782AD4">
          <w:rPr>
            <w:rFonts w:ascii="Helvetica" w:eastAsia="Times New Roman" w:hAnsi="Helvetica" w:cs="Times New Roman"/>
            <w:i/>
            <w:iCs/>
            <w:color w:val="005BC6"/>
            <w:bdr w:val="none" w:sz="0" w:space="0" w:color="auto" w:frame="1"/>
          </w:rPr>
          <w:t>1</w:t>
        </w:r>
      </w:hyperlink>
      <w:r w:rsidRPr="00782AD4">
        <w:rPr>
          <w:rFonts w:ascii="Helvetica" w:eastAsia="Times New Roman" w:hAnsi="Helvetica" w:cs="Times New Roman"/>
          <w:i/>
          <w:iCs/>
          <w:color w:val="333333"/>
          <w:bdr w:val="none" w:sz="0" w:space="0" w:color="auto" w:frame="1"/>
        </w:rPr>
        <w:t> Our resource-based view (RBV)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is consistent with prior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research [28]. See Barney [3] for a review of RBV theory, and for RBV theory in IS research, see Wade and Hulland [89].</w:t>
      </w:r>
    </w:p>
    <w:p w14:paraId="38EDADFF" w14:textId="77777777" w:rsidR="00782AD4" w:rsidRPr="00782AD4" w:rsidRDefault="00782AD4" w:rsidP="00782AD4">
      <w:pPr>
        <w:textAlignment w:val="baseline"/>
        <w:rPr>
          <w:rFonts w:ascii="Helvetica" w:eastAsia="Times New Roman" w:hAnsi="Helvetica" w:cs="Times New Roman"/>
          <w:color w:val="333333"/>
        </w:rPr>
      </w:pPr>
      <w:hyperlink r:id="rId68" w:anchor="bib2up&#9;&#9;&#9;" w:tooltip="2" w:history="1">
        <w:r w:rsidRPr="00782AD4">
          <w:rPr>
            <w:rFonts w:ascii="Helvetica" w:eastAsia="Times New Roman" w:hAnsi="Helvetica" w:cs="Times New Roman"/>
            <w:i/>
            <w:iCs/>
            <w:color w:val="005BC6"/>
            <w:bdr w:val="none" w:sz="0" w:space="0" w:color="auto" w:frame="1"/>
          </w:rPr>
          <w:t>2</w:t>
        </w:r>
      </w:hyperlink>
      <w:r w:rsidRPr="00782AD4">
        <w:rPr>
          <w:rFonts w:ascii="Helvetica" w:eastAsia="Times New Roman" w:hAnsi="Helvetica" w:cs="Times New Roman"/>
          <w:i/>
          <w:iCs/>
          <w:color w:val="333333"/>
          <w:bdr w:val="none" w:sz="0" w:space="0" w:color="auto" w:frame="1"/>
        </w:rPr>
        <w:t> Madhavaram and Hunt [53, p. 70] state that "what a researcher might label as a "composite, operant resource" in one schema might be considered as a basic operant resource, a building block, in another schema." Similar schematic representation differences may exist for different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integration or service conceptualizations. Our objective is to validate a model for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as a resource hierarchy-based, service-oriented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-creation strategy that is novel yet granular. There is still quite a bit of scope to conceptualize operant resource hierarchies differently though.</w:t>
      </w:r>
    </w:p>
    <w:p w14:paraId="1138F2EB" w14:textId="77777777" w:rsidR="00782AD4" w:rsidRPr="00782AD4" w:rsidRDefault="00782AD4" w:rsidP="00782AD4">
      <w:pPr>
        <w:textAlignment w:val="baseline"/>
        <w:rPr>
          <w:rFonts w:ascii="Helvetica" w:eastAsia="Times New Roman" w:hAnsi="Helvetica" w:cs="Times New Roman"/>
          <w:color w:val="333333"/>
        </w:rPr>
      </w:pPr>
      <w:hyperlink r:id="rId69" w:anchor="bib3up&#9;&#9;&#9;" w:tooltip="3" w:history="1">
        <w:r w:rsidRPr="00782AD4">
          <w:rPr>
            <w:rFonts w:ascii="Helvetica" w:eastAsia="Times New Roman" w:hAnsi="Helvetica" w:cs="Times New Roman"/>
            <w:i/>
            <w:iCs/>
            <w:color w:val="005BC6"/>
            <w:bdr w:val="none" w:sz="0" w:space="0" w:color="auto" w:frame="1"/>
          </w:rPr>
          <w:t>3</w:t>
        </w:r>
      </w:hyperlink>
      <w:r w:rsidRPr="00782AD4">
        <w:rPr>
          <w:rFonts w:ascii="Helvetica" w:eastAsia="Times New Roman" w:hAnsi="Helvetica" w:cs="Times New Roman"/>
          <w:i/>
          <w:iCs/>
          <w:color w:val="333333"/>
          <w:bdr w:val="none" w:sz="0" w:space="0" w:color="auto" w:frame="1"/>
        </w:rPr>
        <w:t> Service offerings </w:t>
      </w:r>
      <w:r w:rsidRPr="00782AD4">
        <w:rPr>
          <w:rFonts w:ascii="Helvetica" w:eastAsia="Times New Roman" w:hAnsi="Helvetica" w:cs="Times New Roman"/>
          <w:b/>
          <w:bCs/>
          <w:i/>
          <w:iCs/>
          <w:color w:val="333333"/>
          <w:bdr w:val="none" w:sz="0" w:space="0" w:color="auto" w:frame="1"/>
        </w:rPr>
        <w:t>can</w:t>
      </w:r>
      <w:r w:rsidRPr="00782AD4">
        <w:rPr>
          <w:rFonts w:ascii="Helvetica" w:eastAsia="Times New Roman" w:hAnsi="Helvetica" w:cs="Times New Roman"/>
          <w:i/>
          <w:iCs/>
          <w:color w:val="333333"/>
          <w:bdr w:val="none" w:sz="0" w:space="0" w:color="auto" w:frame="1"/>
        </w:rPr>
        <w:t> result from or be supported by the provision of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capabilities, such as dynamic on-demand allocation of server time and network storage, automatically without human interaction by the provider.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resources also are pooled to serve multiple consumers using a multitenant model [93, 94], with dynamic resource assignment.</w:t>
      </w:r>
    </w:p>
    <w:p w14:paraId="50CBEEB2" w14:textId="77777777" w:rsidR="00782AD4" w:rsidRPr="00782AD4" w:rsidRDefault="00782AD4" w:rsidP="00782AD4">
      <w:pPr>
        <w:textAlignment w:val="baseline"/>
        <w:rPr>
          <w:rFonts w:ascii="Helvetica" w:eastAsia="Times New Roman" w:hAnsi="Helvetica" w:cs="Times New Roman"/>
          <w:color w:val="333333"/>
        </w:rPr>
      </w:pPr>
      <w:hyperlink r:id="rId70" w:anchor="bib4up&#9;&#9;&#9;" w:tooltip="4" w:history="1">
        <w:r w:rsidRPr="00782AD4">
          <w:rPr>
            <w:rFonts w:ascii="Helvetica" w:eastAsia="Times New Roman" w:hAnsi="Helvetica" w:cs="Times New Roman"/>
            <w:i/>
            <w:iCs/>
            <w:color w:val="005BC6"/>
            <w:bdr w:val="none" w:sz="0" w:space="0" w:color="auto" w:frame="1"/>
          </w:rPr>
          <w:t>4</w:t>
        </w:r>
      </w:hyperlink>
      <w:r w:rsidRPr="00782AD4">
        <w:rPr>
          <w:rFonts w:ascii="Helvetica" w:eastAsia="Times New Roman" w:hAnsi="Helvetica" w:cs="Times New Roman"/>
          <w:i/>
          <w:iCs/>
          <w:color w:val="333333"/>
          <w:bdr w:val="none" w:sz="0" w:space="0" w:color="auto" w:frame="1"/>
        </w:rPr>
        <w:t xml:space="preserve">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execution through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mobile platforms </w:t>
      </w:r>
      <w:r w:rsidRPr="00782AD4">
        <w:rPr>
          <w:rFonts w:ascii="Helvetica" w:eastAsia="Times New Roman" w:hAnsi="Helvetica" w:cs="Times New Roman"/>
          <w:b/>
          <w:bCs/>
          <w:i/>
          <w:iCs/>
          <w:color w:val="333333"/>
          <w:bdr w:val="none" w:sz="0" w:space="0" w:color="auto" w:frame="1"/>
        </w:rPr>
        <w:t>can</w:t>
      </w:r>
      <w:r w:rsidRPr="00782AD4">
        <w:rPr>
          <w:rFonts w:ascii="Helvetica" w:eastAsia="Times New Roman" w:hAnsi="Helvetica" w:cs="Times New Roman"/>
          <w:i/>
          <w:iCs/>
          <w:color w:val="333333"/>
          <w:bdr w:val="none" w:sz="0" w:space="0" w:color="auto" w:frame="1"/>
        </w:rPr>
        <w:t> support rich mobile applications and an engaging user experience. When a retailer opens a mobile store front, it needs to enable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services for secure mobile payments through a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-enabled mobile payment gateway system that allows it to connect with other market participants. This is more of a market orientation than a service orientation though. Other characteristics that enable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market offerings are interoperability, compatibility, and collaborative or complementing services across a variety of systems.</w:t>
      </w:r>
    </w:p>
    <w:p w14:paraId="3A910DE3" w14:textId="77777777" w:rsidR="00782AD4" w:rsidRPr="00782AD4" w:rsidRDefault="00782AD4" w:rsidP="00782AD4">
      <w:pPr>
        <w:textAlignment w:val="baseline"/>
        <w:rPr>
          <w:rFonts w:ascii="Helvetica" w:eastAsia="Times New Roman" w:hAnsi="Helvetica" w:cs="Times New Roman"/>
          <w:color w:val="333333"/>
        </w:rPr>
      </w:pPr>
      <w:hyperlink r:id="rId71" w:anchor="bib5up&#9;&#9;&#9;" w:tooltip="5" w:history="1">
        <w:r w:rsidRPr="00782AD4">
          <w:rPr>
            <w:rFonts w:ascii="Helvetica" w:eastAsia="Times New Roman" w:hAnsi="Helvetica" w:cs="Times New Roman"/>
            <w:i/>
            <w:iCs/>
            <w:color w:val="005BC6"/>
            <w:bdr w:val="none" w:sz="0" w:space="0" w:color="auto" w:frame="1"/>
          </w:rPr>
          <w:t>5</w:t>
        </w:r>
      </w:hyperlink>
      <w:r w:rsidRPr="00782AD4">
        <w:rPr>
          <w:rFonts w:ascii="Helvetica" w:eastAsia="Times New Roman" w:hAnsi="Helvetica" w:cs="Times New Roman"/>
          <w:i/>
          <w:iCs/>
          <w:color w:val="333333"/>
          <w:bdr w:val="none" w:sz="0" w:space="0" w:color="auto" w:frame="1"/>
        </w:rPr>
        <w:t> Our hierarchical taxonomy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capabilities is illustrated for hybrid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adoption by EasyJet, a leading European low-fare airline [70]. EasyJet utilized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-based services offered by Microsoft Azure to </w:t>
      </w:r>
      <w:r w:rsidRPr="00782AD4">
        <w:rPr>
          <w:rFonts w:ascii="Helvetica" w:eastAsia="Times New Roman" w:hAnsi="Helvetica" w:cs="Times New Roman"/>
          <w:b/>
          <w:bCs/>
          <w:i/>
          <w:iCs/>
          <w:color w:val="333333"/>
          <w:bdr w:val="none" w:sz="0" w:space="0" w:color="auto" w:frame="1"/>
        </w:rPr>
        <w:t>enhance</w:t>
      </w:r>
      <w:r w:rsidRPr="00782AD4">
        <w:rPr>
          <w:rFonts w:ascii="Helvetica" w:eastAsia="Times New Roman" w:hAnsi="Helvetica" w:cs="Times New Roman"/>
          <w:i/>
          <w:iCs/>
          <w:color w:val="333333"/>
          <w:bdr w:val="none" w:sz="0" w:space="0" w:color="auto" w:frame="1"/>
        </w:rPr>
        <w:t> its existing on-premises registration system by adding a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-based seat allocation solution. For successful deployment, it was fully integrated and synchronized with its legacy system to be able to appropriate the benefits of the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implementation. EasyJet got a flexible, scalable infrastructure it </w:t>
      </w:r>
      <w:r w:rsidRPr="00782AD4">
        <w:rPr>
          <w:rFonts w:ascii="Helvetica" w:eastAsia="Times New Roman" w:hAnsi="Helvetica" w:cs="Times New Roman"/>
          <w:b/>
          <w:bCs/>
          <w:i/>
          <w:iCs/>
          <w:color w:val="333333"/>
          <w:bdr w:val="none" w:sz="0" w:space="0" w:color="auto" w:frame="1"/>
        </w:rPr>
        <w:t>can</w:t>
      </w:r>
      <w:r w:rsidRPr="00782AD4">
        <w:rPr>
          <w:rFonts w:ascii="Helvetica" w:eastAsia="Times New Roman" w:hAnsi="Helvetica" w:cs="Times New Roman"/>
          <w:i/>
          <w:iCs/>
          <w:color w:val="333333"/>
          <w:bdr w:val="none" w:sz="0" w:space="0" w:color="auto" w:frame="1"/>
        </w:rPr>
        <w:t> use to introduce new features quickly, enhancing its service portfolio and creating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w:t>
      </w:r>
    </w:p>
    <w:p w14:paraId="69CE9487" w14:textId="77777777" w:rsidR="00782AD4" w:rsidRPr="00782AD4" w:rsidRDefault="00782AD4" w:rsidP="00782AD4">
      <w:pPr>
        <w:textAlignment w:val="baseline"/>
        <w:rPr>
          <w:rFonts w:ascii="Helvetica" w:eastAsia="Times New Roman" w:hAnsi="Helvetica" w:cs="Times New Roman"/>
          <w:color w:val="333333"/>
        </w:rPr>
      </w:pPr>
      <w:hyperlink r:id="rId72" w:anchor="bib6up&#9;&#9;&#9;" w:tooltip="6" w:history="1">
        <w:r w:rsidRPr="00782AD4">
          <w:rPr>
            <w:rFonts w:ascii="Helvetica" w:eastAsia="Times New Roman" w:hAnsi="Helvetica" w:cs="Times New Roman"/>
            <w:i/>
            <w:iCs/>
            <w:color w:val="005BC6"/>
            <w:bdr w:val="none" w:sz="0" w:space="0" w:color="auto" w:frame="1"/>
          </w:rPr>
          <w:t>6</w:t>
        </w:r>
      </w:hyperlink>
      <w:r w:rsidRPr="00782AD4">
        <w:rPr>
          <w:rFonts w:ascii="Helvetica" w:eastAsia="Times New Roman" w:hAnsi="Helvetica" w:cs="Times New Roman"/>
          <w:i/>
          <w:iCs/>
          <w:color w:val="333333"/>
          <w:bdr w:val="none" w:sz="0" w:space="0" w:color="auto" w:frame="1"/>
        </w:rPr>
        <w:t> Jindal Steel and Power, a steel and energy provider in India, is an example of a firm that effectively integrated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-based auction systems with its existing legacy systems to support better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xml:space="preserve"> decisions and improve execution efficiency in inventory </w:t>
      </w:r>
      <w:r w:rsidRPr="00782AD4">
        <w:rPr>
          <w:rFonts w:ascii="Helvetica" w:eastAsia="Times New Roman" w:hAnsi="Helvetica" w:cs="Times New Roman"/>
          <w:i/>
          <w:iCs/>
          <w:color w:val="333333"/>
          <w:bdr w:val="none" w:sz="0" w:space="0" w:color="auto" w:frame="1"/>
        </w:rPr>
        <w:lastRenderedPageBreak/>
        <w:t>management across its various warehouses [26, 44]. This example suggests that to achieve transformation and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-creation from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a firm must go beyond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technology and architecture to create fully-integrated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capabilities that enable alignment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service functionality with other systems.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technology may be an enabler but will not suffice to achieve outcomes for a supply chain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function, without integration of the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platform.</w:t>
      </w:r>
    </w:p>
    <w:p w14:paraId="352501CB" w14:textId="77777777" w:rsidR="00782AD4" w:rsidRPr="00782AD4" w:rsidRDefault="00782AD4" w:rsidP="00782AD4">
      <w:pPr>
        <w:textAlignment w:val="baseline"/>
        <w:rPr>
          <w:rFonts w:ascii="Helvetica" w:eastAsia="Times New Roman" w:hAnsi="Helvetica" w:cs="Times New Roman"/>
          <w:color w:val="333333"/>
        </w:rPr>
      </w:pPr>
      <w:hyperlink r:id="rId73" w:anchor="bib7up&#9;&#9;&#9;" w:tooltip="7" w:history="1">
        <w:r w:rsidRPr="00782AD4">
          <w:rPr>
            <w:rFonts w:ascii="Helvetica" w:eastAsia="Times New Roman" w:hAnsi="Helvetica" w:cs="Times New Roman"/>
            <w:i/>
            <w:iCs/>
            <w:color w:val="005BC6"/>
            <w:bdr w:val="none" w:sz="0" w:space="0" w:color="auto" w:frame="1"/>
          </w:rPr>
          <w:t>7</w:t>
        </w:r>
      </w:hyperlink>
      <w:r w:rsidRPr="00782AD4">
        <w:rPr>
          <w:rFonts w:ascii="Helvetica" w:eastAsia="Times New Roman" w:hAnsi="Helvetica" w:cs="Times New Roman"/>
          <w:i/>
          <w:iCs/>
          <w:color w:val="333333"/>
          <w:bdr w:val="none" w:sz="0" w:space="0" w:color="auto" w:frame="1"/>
        </w:rPr>
        <w:t> Elasticity and on-demand provisioning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resources are beneficial because services experience seasonal and periodic demand variation. Their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shows up in reduced time to introduce, deploy, and develop new services; maintain existing services; procure hardware and software platforms; and avoid the cost of higher use and reuse of existing resources. For example,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technology capabilities enabled Art-World [45] (a company that connects art dealers to collectors) to rapidly deploy and scale its service offerings through reliable, scalable, and dynamically-allocated IT resources. Another example is the photo website, SmugMug.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technology capabilities have allowed it to meet demand spikes during the two months of the year when demand goes to five times the usual load [56].</w:t>
      </w:r>
    </w:p>
    <w:p w14:paraId="67C2A129" w14:textId="77777777" w:rsidR="00782AD4" w:rsidRPr="00782AD4" w:rsidRDefault="00782AD4" w:rsidP="00782AD4">
      <w:pPr>
        <w:textAlignment w:val="baseline"/>
        <w:rPr>
          <w:rFonts w:ascii="Helvetica" w:eastAsia="Times New Roman" w:hAnsi="Helvetica" w:cs="Times New Roman"/>
          <w:color w:val="333333"/>
        </w:rPr>
      </w:pPr>
      <w:hyperlink r:id="rId74" w:anchor="bib8up&#9;&#9;&#9;" w:tooltip="8" w:history="1">
        <w:r w:rsidRPr="00782AD4">
          <w:rPr>
            <w:rFonts w:ascii="Helvetica" w:eastAsia="Times New Roman" w:hAnsi="Helvetica" w:cs="Times New Roman"/>
            <w:i/>
            <w:iCs/>
            <w:color w:val="005BC6"/>
            <w:bdr w:val="none" w:sz="0" w:space="0" w:color="auto" w:frame="1"/>
          </w:rPr>
          <w:t>8</w:t>
        </w:r>
      </w:hyperlink>
      <w:r w:rsidRPr="00782AD4">
        <w:rPr>
          <w:rFonts w:ascii="Helvetica" w:eastAsia="Times New Roman" w:hAnsi="Helvetica" w:cs="Times New Roman"/>
          <w:i/>
          <w:iCs/>
          <w:color w:val="333333"/>
          <w:bdr w:val="none" w:sz="0" w:space="0" w:color="auto" w:frame="1"/>
        </w:rPr>
        <w:t> Complexity in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utilization is present because of multiple deployment models (public, private, hybrid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service options (SaaS, IaaS, etc.), and utilization choices (fully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legacy-based, or a hybrid mix). In most firms, IT departments lead the implementation, test the delivery model and develop the capabilities to manage distributed implementation. Functional areas often adopt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functionality independently for quicker implementation and may adopt without prior approval.</w:t>
      </w:r>
    </w:p>
    <w:p w14:paraId="30AD889F" w14:textId="77777777" w:rsidR="00782AD4" w:rsidRPr="00782AD4" w:rsidRDefault="00782AD4" w:rsidP="00782AD4">
      <w:pPr>
        <w:textAlignment w:val="baseline"/>
        <w:rPr>
          <w:rFonts w:ascii="Helvetica" w:eastAsia="Times New Roman" w:hAnsi="Helvetica" w:cs="Times New Roman"/>
          <w:color w:val="333333"/>
        </w:rPr>
      </w:pPr>
      <w:hyperlink r:id="rId75" w:anchor="bib9up&#9;&#9;&#9;" w:tooltip="9" w:history="1">
        <w:r w:rsidRPr="00782AD4">
          <w:rPr>
            <w:rFonts w:ascii="Helvetica" w:eastAsia="Times New Roman" w:hAnsi="Helvetica" w:cs="Times New Roman"/>
            <w:i/>
            <w:iCs/>
            <w:color w:val="005BC6"/>
            <w:bdr w:val="none" w:sz="0" w:space="0" w:color="auto" w:frame="1"/>
          </w:rPr>
          <w:t>9</w:t>
        </w:r>
      </w:hyperlink>
      <w:r w:rsidRPr="00782AD4">
        <w:rPr>
          <w:rFonts w:ascii="Helvetica" w:eastAsia="Times New Roman" w:hAnsi="Helvetica" w:cs="Times New Roman"/>
          <w:i/>
          <w:iCs/>
          <w:color w:val="333333"/>
          <w:bdr w:val="none" w:sz="0" w:space="0" w:color="auto" w:frame="1"/>
        </w:rPr>
        <w:t> A reason for the incompatibility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service providers is that the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market is developing. No single vendor has a dominant position, especially for small and medium enterprises. Most enterprises use services from disparate vendors.</w:t>
      </w:r>
    </w:p>
    <w:p w14:paraId="0C5F16B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Synchronization of data across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and legacy systems is achieved via mechanisms such as transaction and application handoffs using transaction coordination, central authentication, control and change management, and standardization apps.</w:t>
      </w:r>
    </w:p>
    <w:p w14:paraId="36F7A4A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CIC enabled the governing council for technical education in India to develop CMOC by using streamlined data sharing across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offerings to support collaborative research across various institutes under its umbrella and with partner institutions [21].</w:t>
      </w:r>
    </w:p>
    <w:p w14:paraId="5575692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Apeejay Stya and Svrán Group, an Indian conglomerate, serves as an exemplar for CIC leading to BusFlex. Integration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-based systems with other systems helped the group to gather information from a variety of sources, and improve flexibility of its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processes and efficiency of its operations [2].</w:t>
      </w:r>
    </w:p>
    <w:p w14:paraId="144FAAA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Dr. Lal Pathlabs, an Indian healthcare company, is example of </w:t>
      </w:r>
      <w:r w:rsidRPr="00782AD4">
        <w:rPr>
          <w:rFonts w:ascii="Helvetica" w:eastAsia="Times New Roman" w:hAnsi="Helvetica" w:cs="Times New Roman"/>
          <w:b/>
          <w:bCs/>
          <w:i/>
          <w:iCs/>
          <w:color w:val="333333"/>
          <w:bdr w:val="none" w:sz="0" w:space="0" w:color="auto" w:frame="1"/>
        </w:rPr>
        <w:t>how</w:t>
      </w:r>
      <w:r w:rsidRPr="00782AD4">
        <w:rPr>
          <w:rFonts w:ascii="Helvetica" w:eastAsia="Times New Roman" w:hAnsi="Helvetica" w:cs="Times New Roman"/>
          <w:i/>
          <w:iCs/>
          <w:color w:val="333333"/>
          <w:bdr w:val="none" w:sz="0" w:space="0" w:color="auto" w:frame="1"/>
        </w:rPr>
        <w:t> effective integration increases access of key ITs and scale economies for technical resources. The firm effectively integrated a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-based patient registration system with its resource planning system to increase efficiency by 15% [9].</w:t>
      </w:r>
    </w:p>
    <w:p w14:paraId="4F5285F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India is the world's fastest growing major economy.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flexibility, responsiveness, and scalability are competitive priorities for firm performance and survival in India [39]. The growth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services has resulted in the big providers setting up data centers there. Microsoft set up three Azure data centers to cater to new demand [79]. Meanwhile, public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xml:space="preserve"> services reached US$731 million in </w:t>
      </w:r>
      <w:r w:rsidRPr="00782AD4">
        <w:rPr>
          <w:rFonts w:ascii="Helvetica" w:eastAsia="Times New Roman" w:hAnsi="Helvetica" w:cs="Times New Roman"/>
          <w:i/>
          <w:iCs/>
          <w:color w:val="333333"/>
          <w:bdr w:val="none" w:sz="0" w:space="0" w:color="auto" w:frame="1"/>
        </w:rPr>
        <w:lastRenderedPageBreak/>
        <w:t>2015, with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management, SaaS, and IaaS slated to reach US$1.9 billion in 2019 [34].</w:t>
      </w:r>
    </w:p>
    <w:p w14:paraId="2BE9F82C"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We are interested in measuring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capabilities and not simply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implementation; therefore, a survey is suitable. It allows us to measure nuances of internal firm capabilities more effectively than objective measures of implementation [33]. Similar to prior firm-level IS research [67], subjective measures were used for firm performance as senior managers have reasonable information and perspective of firm performance [47], and differences in accounting conventions and practices </w:t>
      </w:r>
      <w:r w:rsidRPr="00782AD4">
        <w:rPr>
          <w:rFonts w:ascii="Helvetica" w:eastAsia="Times New Roman" w:hAnsi="Helvetica" w:cs="Times New Roman"/>
          <w:b/>
          <w:bCs/>
          <w:i/>
          <w:iCs/>
          <w:color w:val="333333"/>
          <w:bdr w:val="none" w:sz="0" w:space="0" w:color="auto" w:frame="1"/>
        </w:rPr>
        <w:t>can</w:t>
      </w:r>
      <w:r w:rsidRPr="00782AD4">
        <w:rPr>
          <w:rFonts w:ascii="Helvetica" w:eastAsia="Times New Roman" w:hAnsi="Helvetica" w:cs="Times New Roman"/>
          <w:i/>
          <w:iCs/>
          <w:color w:val="333333"/>
          <w:bdr w:val="none" w:sz="0" w:space="0" w:color="auto" w:frame="1"/>
        </w:rPr>
        <w:t> confound comparisons of financial metrics, particularly in emerging markets such as India where accounting procedures are less developed.</w:t>
      </w:r>
    </w:p>
    <w:p w14:paraId="49E2869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We took multiple steps to mitigate common method bias. We used different scales to measure different constructs. Although use of similar scale formats and anchors requires less cognitive processing, this may increase method bias due to consistency in scale properties. We measured all key constructs using multi-item, 7-point or 5-point Likert scales. Using scales with different anchors reduces common method biases caused by commonalities in scale endpoints and anchoring effects [12, 65]. The 7-point scales were used for constructs when there was a precedent in prior work, while 5-point scales were used for new constructs. This approach benefits from reduced survey weariness for the respondent. Research has precedents for utilizing different scales during data collection and analysis, without reconciliation. To ensure our results are independent of scales, we re-scaled all items to a 5-point scale and re-ran our analysis. The results were similar and are omitted for brevity. We used a matched pair design, ensuring that independent and dependent variables were collected from different respondents in the same firm.</w:t>
      </w:r>
    </w:p>
    <w:p w14:paraId="12529AE3"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We refined our initial questionnaires based on results of the pretest. Pretest respondents filled out prototype questionnaires and were then interviewed and asked questions on their interpretation of the items. They offered comments on content validity, appearance, terminology, clarity of instructions, organization, and response format. We then made adjustments to the questionnaires based on the comments. We conducted a further pilot test with a small sample from the targeted population for reliability, convergent and discriminant validity, and predictability. We then made final revisions for items based on the pilot test results.</w:t>
      </w:r>
    </w:p>
    <w:p w14:paraId="060CC13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Firms from which we did not receive responses from both the CEO and CIO were dropped from the sample. The survey was done in-person and, as a result, we could identify who responded; if the CEO and CIO did not respond, their organizations were also dropped.</w:t>
      </w:r>
    </w:p>
    <w:p w14:paraId="325E4C0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Individuals who answered our survey were acting as agents of their firms and provided responses to firm-level questions. To adhere to ethical principles regarding research-related data collection and to </w:t>
      </w:r>
      <w:r w:rsidRPr="00782AD4">
        <w:rPr>
          <w:rFonts w:ascii="Helvetica" w:eastAsia="Times New Roman" w:hAnsi="Helvetica" w:cs="Times New Roman"/>
          <w:b/>
          <w:bCs/>
          <w:i/>
          <w:iCs/>
          <w:color w:val="333333"/>
          <w:bdr w:val="none" w:sz="0" w:space="0" w:color="auto" w:frame="1"/>
        </w:rPr>
        <w:t>enhance</w:t>
      </w:r>
      <w:r w:rsidRPr="00782AD4">
        <w:rPr>
          <w:rFonts w:ascii="Helvetica" w:eastAsia="Times New Roman" w:hAnsi="Helvetica" w:cs="Times New Roman"/>
          <w:i/>
          <w:iCs/>
          <w:color w:val="333333"/>
          <w:bdr w:val="none" w:sz="0" w:space="0" w:color="auto" w:frame="1"/>
        </w:rPr>
        <w:t> response rates, we did not collect personal information from respondents, such as their demographics or job tenure. This ensured confidentiality and privacy for respondents, who could answer questions free from legal risks and report the actual, rather than the desired state of their firms.</w:t>
      </w:r>
    </w:p>
    <w:p w14:paraId="66968C1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 xml:space="preserve">We were careful in this research to ensure that the paths in the analysis were established based on appropriate evidence. For example, the importance of </w:t>
      </w:r>
      <w:r w:rsidRPr="00782AD4">
        <w:rPr>
          <w:rFonts w:ascii="Helvetica" w:eastAsia="Times New Roman" w:hAnsi="Helvetica" w:cs="Times New Roman"/>
          <w:i/>
          <w:iCs/>
          <w:color w:val="333333"/>
          <w:bdr w:val="none" w:sz="0" w:space="0" w:color="auto" w:frame="1"/>
        </w:rPr>
        <w:lastRenderedPageBreak/>
        <w:t>the CTC </w:t>
      </w:r>
      <w:r w:rsidRPr="00782AD4">
        <w:rPr>
          <w:rFonts w:ascii="Times New Roman" w:eastAsia="Times New Roman" w:hAnsi="Times New Roman" w:cs="Times New Roman"/>
          <w:i/>
          <w:iCs/>
          <w:color w:val="333333"/>
          <w:bdr w:val="none" w:sz="0" w:space="0" w:color="auto" w:frame="1"/>
        </w:rPr>
        <w:t>→</w:t>
      </w:r>
      <w:r w:rsidRPr="00782AD4">
        <w:rPr>
          <w:rFonts w:ascii="Helvetica" w:eastAsia="Times New Roman" w:hAnsi="Helvetica" w:cs="Times New Roman"/>
          <w:i/>
          <w:iCs/>
          <w:color w:val="333333"/>
          <w:bdr w:val="none" w:sz="0" w:space="0" w:color="auto" w:frame="1"/>
        </w:rPr>
        <w:t> CIC </w:t>
      </w:r>
      <w:r w:rsidRPr="00782AD4">
        <w:rPr>
          <w:rFonts w:ascii="Times New Roman" w:eastAsia="Times New Roman" w:hAnsi="Times New Roman" w:cs="Times New Roman"/>
          <w:i/>
          <w:iCs/>
          <w:color w:val="333333"/>
          <w:bdr w:val="none" w:sz="0" w:space="0" w:color="auto" w:frame="1"/>
        </w:rPr>
        <w:t>→</w:t>
      </w:r>
      <w:r w:rsidRPr="00782AD4">
        <w:rPr>
          <w:rFonts w:ascii="Helvetica" w:eastAsia="Times New Roman" w:hAnsi="Helvetica" w:cs="Times New Roman"/>
          <w:i/>
          <w:iCs/>
          <w:color w:val="333333"/>
          <w:bdr w:val="none" w:sz="0" w:space="0" w:color="auto" w:frame="1"/>
        </w:rPr>
        <w:t> CSPC </w:t>
      </w:r>
      <w:r w:rsidRPr="00782AD4">
        <w:rPr>
          <w:rFonts w:ascii="Times New Roman" w:eastAsia="Times New Roman" w:hAnsi="Times New Roman" w:cs="Times New Roman"/>
          <w:i/>
          <w:iCs/>
          <w:color w:val="333333"/>
          <w:bdr w:val="none" w:sz="0" w:space="0" w:color="auto" w:frame="1"/>
        </w:rPr>
        <w:t>→</w:t>
      </w:r>
      <w:r w:rsidRPr="00782AD4">
        <w:rPr>
          <w:rFonts w:ascii="Helvetica" w:eastAsia="Times New Roman" w:hAnsi="Helvetica" w:cs="Times New Roman"/>
          <w:i/>
          <w:iCs/>
          <w:color w:val="333333"/>
          <w:bdr w:val="none" w:sz="0" w:space="0" w:color="auto" w:frame="1"/>
        </w:rPr>
        <w:t> BusFlex path is further supported by a simple mediation analysis that we conducted, which was significant at the p &lt; 0.10 level. The Sobel test for the product of coefficients approach [77] was used to assess the significance of simple mediation relationships. However, recent methods advances in PLS-SEM research suggest that this is not a valid method for assessing mediation in these contexts. First, the product of coefficients approach identifies two types of mediation, whereas recent advances propose three types of mediation and two types of non-mediation, requiring a series of different analyses. Second, the product of coefficients approach was developed for evaluating simple mediation, consisting of a single mediator. Structural models that contain more than one mediator require running a series of separate simple mediation analyses, which leads to biased and inaccurate results [31]. Third, the Sobel test assumes that the data for each of the variables follow a normal distribution, which is inconsistent with PLS. Fourth, the parametric assumptions of the Sobel test do not hold for indirect effects. Fifth, the Sobel test requires unstandardized coefficients as inputs. Finally, the test has low statistical power for small sample sizes. Instead, an alternate method to assess mediation in PLS has been proposed—which we use—in which the sampling distributions for the indirect effects are bootstrapped and multiple mediation analysis is conducted.</w:t>
      </w:r>
    </w:p>
    <w:p w14:paraId="3889445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A minor contribution of this study is the dual online-offline mode; to our knowledge, we are the first to employ this method, which is suitable for the unique Indian context. In the future, other researchers </w:t>
      </w:r>
      <w:r w:rsidRPr="00782AD4">
        <w:rPr>
          <w:rFonts w:ascii="Helvetica" w:eastAsia="Times New Roman" w:hAnsi="Helvetica" w:cs="Times New Roman"/>
          <w:b/>
          <w:bCs/>
          <w:i/>
          <w:iCs/>
          <w:color w:val="333333"/>
          <w:bdr w:val="none" w:sz="0" w:space="0" w:color="auto" w:frame="1"/>
        </w:rPr>
        <w:t>can</w:t>
      </w:r>
      <w:r w:rsidRPr="00782AD4">
        <w:rPr>
          <w:rFonts w:ascii="Helvetica" w:eastAsia="Times New Roman" w:hAnsi="Helvetica" w:cs="Times New Roman"/>
          <w:i/>
          <w:iCs/>
          <w:color w:val="333333"/>
          <w:bdr w:val="none" w:sz="0" w:space="0" w:color="auto" w:frame="1"/>
        </w:rPr>
        <w:t> follow this approach to improve authenticity and response rates for primary data collection efforts in India.</w:t>
      </w:r>
    </w:p>
    <w:p w14:paraId="0510A73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We conducted a parametric test to compare mature and immature firms with respect to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technologies. The intuition for doing this analysis is to assess whether the relationships were weaker for immature firms than for mature firms, given that mature firms may have had more time to develop their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capabilities. The t-tests of standard errors derived from bootstrapping indicate that our hypothesized relationships are weaker (albeit significant) for immature firms. Although this suggests the temporal evolution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capabilities, we note several caveats. The small size of subsamples restricts our ability to draw meaningful implications from such an analysis. Furthermore, this traditional approach is inappropriate for PLS as it suffers from Type I errors and inconsistent distributional assumptions. We are also restricted from employing the nonparametric permutation test or the PLS-multigroup analysis (PLS-MGA) technique: our subsamples are not of equal size and limit statistical power to detecting only large-sized effects (R</w:t>
      </w:r>
      <w:r w:rsidRPr="00782AD4">
        <w:rPr>
          <w:rFonts w:ascii="Helvetica" w:eastAsia="Times New Roman" w:hAnsi="Helvetica" w:cs="Times New Roman"/>
          <w:i/>
          <w:iCs/>
          <w:color w:val="333333"/>
          <w:bdr w:val="none" w:sz="0" w:space="0" w:color="auto" w:frame="1"/>
          <w:vertAlign w:val="superscript"/>
        </w:rPr>
        <w:t>2</w:t>
      </w:r>
      <w:r w:rsidRPr="00782AD4">
        <w:rPr>
          <w:rFonts w:ascii="Helvetica" w:eastAsia="Times New Roman" w:hAnsi="Helvetica" w:cs="Times New Roman"/>
          <w:i/>
          <w:iCs/>
          <w:color w:val="333333"/>
          <w:bdr w:val="none" w:sz="0" w:space="0" w:color="auto" w:frame="1"/>
        </w:rPr>
        <w:t> &gt; 25 percent). Due to these limitations, we did not add this analysis to our main narrative. Even so, they present an interesting avenue for future inquiry.</w:t>
      </w:r>
    </w:p>
    <w:p w14:paraId="6AEB8D05" w14:textId="77777777" w:rsidR="00782AD4" w:rsidRPr="00782AD4" w:rsidRDefault="00782AD4" w:rsidP="00782AD4">
      <w:pPr>
        <w:rPr>
          <w:rFonts w:ascii="Times New Roman" w:eastAsia="Times New Roman" w:hAnsi="Times New Roman" w:cs="Times New Roman"/>
        </w:rPr>
      </w:pPr>
      <w:hyperlink r:id="rId76" w:anchor="toc" w:tooltip=" References  " w:history="1">
        <w:r w:rsidRPr="00782AD4">
          <w:rPr>
            <w:rFonts w:ascii="Helvetica" w:eastAsia="Times New Roman" w:hAnsi="Helvetica" w:cs="Times New Roman"/>
            <w:b/>
            <w:bCs/>
            <w:color w:val="005BC6"/>
            <w:bdr w:val="none" w:sz="0" w:space="0" w:color="auto" w:frame="1"/>
          </w:rPr>
          <w:t>References </w:t>
        </w:r>
      </w:hyperlink>
    </w:p>
    <w:p w14:paraId="698DE0D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Allan, D. Microsoft Hotmail glitch affected 17,000 users. TechWatch ( January 4, 2011 ). https://aws.amazon.com/solutions/case-studies/apeejay-stya-and-svran-group/</w:t>
      </w:r>
    </w:p>
    <w:p w14:paraId="02F6904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AWS. AWS case study: Apeejay and Svrán Group. Seattle, WA, 2017.</w:t>
      </w:r>
    </w:p>
    <w:p w14:paraId="4809281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Bardhan, I.R. ; Demirkan, H. ; Kannan, P.K. ; Kauffman, R.J. ; and Sougstad, R. An interdisciplinary perspective on IT services management and service science. Journal of Management Information Systems 26, 4 ( Spring 2010 ), 13 - 64.</w:t>
      </w:r>
    </w:p>
    <w:p w14:paraId="2254CF3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lastRenderedPageBreak/>
        <w:t>Barney, J. Firm resources and sustained competitive advantage. Journal of Management 17, 1 ( March 1991 ), 99 - 120.</w:t>
      </w:r>
    </w:p>
    <w:p w14:paraId="2A9DF99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Battleson, D.A. ; West, B.C. ; Kim, J. ; Ramesh, B. ; and Robinson, P.S. Achieving dynamic capabilities with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An empirical investigation. European Journal of Information Systems 25, 3, ( May 2016 ), 209 - 230.</w:t>
      </w:r>
    </w:p>
    <w:p w14:paraId="097D382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Benlian, A. ; Kettinger, W.J. ; Sunyaev, A ; and Winkler, T.J. Transformative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Call for papers, Journal of Management Information Systems, 2016.</w:t>
      </w:r>
    </w:p>
    <w:p w14:paraId="23DFF448"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Bernstein, D. ; Ludvigson, E. ; Sankar, K. ; Diamond, S. ; and Morrow, M. Blueprint for the intercloud protocols and formats for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interoperability. In Proceedings of the 4</w:t>
      </w:r>
      <w:r w:rsidRPr="00782AD4">
        <w:rPr>
          <w:rFonts w:ascii="Helvetica" w:eastAsia="Times New Roman" w:hAnsi="Helvetica" w:cs="Times New Roman"/>
          <w:i/>
          <w:iCs/>
          <w:color w:val="333333"/>
          <w:bdr w:val="none" w:sz="0" w:space="0" w:color="auto" w:frame="1"/>
          <w:vertAlign w:val="superscript"/>
        </w:rPr>
        <w:t>th</w:t>
      </w:r>
      <w:r w:rsidRPr="00782AD4">
        <w:rPr>
          <w:rFonts w:ascii="Helvetica" w:eastAsia="Times New Roman" w:hAnsi="Helvetica" w:cs="Times New Roman"/>
          <w:i/>
          <w:iCs/>
          <w:color w:val="333333"/>
          <w:bdr w:val="none" w:sz="0" w:space="0" w:color="auto" w:frame="1"/>
        </w:rPr>
        <w:t> IEEE International Conference on Internet and Web Application Services, Washington, DC : IEEE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Society Press, 2009, pp. 328 - 336.</w:t>
      </w:r>
    </w:p>
    <w:p w14:paraId="61AB25E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Bhatt, G.D., and Grover, V. Types of information technology capabilities and their role in competitive advantage: an empirical study. Journal of Management Information Systems 22, 2 ( Fall 2005 ), 253 - 277.</w:t>
      </w:r>
    </w:p>
    <w:p w14:paraId="7DD9EE2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Bhattacharya, I. </w:t>
      </w:r>
      <w:r w:rsidRPr="00782AD4">
        <w:rPr>
          <w:rFonts w:ascii="Helvetica" w:eastAsia="Times New Roman" w:hAnsi="Helvetica" w:cs="Times New Roman"/>
          <w:b/>
          <w:bCs/>
          <w:i/>
          <w:iCs/>
          <w:color w:val="333333"/>
          <w:bdr w:val="none" w:sz="0" w:space="0" w:color="auto" w:frame="1"/>
        </w:rPr>
        <w:t>How</w:t>
      </w:r>
      <w:r w:rsidRPr="00782AD4">
        <w:rPr>
          <w:rFonts w:ascii="Helvetica" w:eastAsia="Times New Roman" w:hAnsi="Helvetica" w:cs="Times New Roman"/>
          <w:i/>
          <w:iCs/>
          <w:color w:val="333333"/>
          <w:bdr w:val="none" w:sz="0" w:space="0" w:color="auto" w:frame="1"/>
        </w:rPr>
        <w:t> moving to the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increased efficiency for Dr. Lal Pathlabs. CIO ( October 7, 2014 ).</w:t>
      </w:r>
    </w:p>
    <w:p w14:paraId="2C9222D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Buyya, R. ; Yeo, C.S. ; and Venugopal, S. Market-oriented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Vision, hype, and reality for delivering IT services as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utilities. In Proceedings of the 10</w:t>
      </w:r>
      <w:r w:rsidRPr="00782AD4">
        <w:rPr>
          <w:rFonts w:ascii="Helvetica" w:eastAsia="Times New Roman" w:hAnsi="Helvetica" w:cs="Times New Roman"/>
          <w:i/>
          <w:iCs/>
          <w:color w:val="333333"/>
          <w:bdr w:val="none" w:sz="0" w:space="0" w:color="auto" w:frame="1"/>
          <w:vertAlign w:val="superscript"/>
        </w:rPr>
        <w:t>th</w:t>
      </w:r>
      <w:r w:rsidRPr="00782AD4">
        <w:rPr>
          <w:rFonts w:ascii="Helvetica" w:eastAsia="Times New Roman" w:hAnsi="Helvetica" w:cs="Times New Roman"/>
          <w:i/>
          <w:iCs/>
          <w:color w:val="333333"/>
          <w:bdr w:val="none" w:sz="0" w:space="0" w:color="auto" w:frame="1"/>
        </w:rPr>
        <w:t>IEEE International Conference on High Performance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and Communication, Washington, DC : IEEE Computer Society Press, 2008, pp. 5 - 13.</w:t>
      </w:r>
    </w:p>
    <w:p w14:paraId="7D4F4F78"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Cassel, C. ; Hackl, P. ; Westlund, A.H. Robustness of partial least-squares method for estimating latent variable quality structures. Journal of Applied Statistics 26, 4 ( 1999 ), 435 - 446.</w:t>
      </w:r>
    </w:p>
    <w:p w14:paraId="66A8A5B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Chang, S.J. ; Van Witteloostuijn ; A. ; and Eden, L. From the editors: Common method variance in international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research. Journal of International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Studies 4, 2 ( February-March 2010 ), 178 - 184.</w:t>
      </w:r>
    </w:p>
    <w:p w14:paraId="6EEAC99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Chen, D.Q. ; Preston, D.S. ; and Swink, M. </w:t>
      </w:r>
      <w:r w:rsidRPr="00782AD4">
        <w:rPr>
          <w:rFonts w:ascii="Helvetica" w:eastAsia="Times New Roman" w:hAnsi="Helvetica" w:cs="Times New Roman"/>
          <w:b/>
          <w:bCs/>
          <w:i/>
          <w:iCs/>
          <w:color w:val="333333"/>
          <w:bdr w:val="none" w:sz="0" w:space="0" w:color="auto" w:frame="1"/>
        </w:rPr>
        <w:t>How</w:t>
      </w:r>
      <w:r w:rsidRPr="00782AD4">
        <w:rPr>
          <w:rFonts w:ascii="Helvetica" w:eastAsia="Times New Roman" w:hAnsi="Helvetica" w:cs="Times New Roman"/>
          <w:i/>
          <w:iCs/>
          <w:color w:val="333333"/>
          <w:bdr w:val="none" w:sz="0" w:space="0" w:color="auto" w:frame="1"/>
        </w:rPr>
        <w:t> the use of big data analytics affects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creation in supply chain management. Journal of Management Information Systems 32, 4 ( Spring 2015 ), 4 - 39.</w:t>
      </w:r>
    </w:p>
    <w:p w14:paraId="40441A0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Chen, P.Y., and Wu, S.Y. The impact and implications of on-demand services on market structure. Information Systems Research 24, 3 ( September 2013 ), 750 - 767.</w:t>
      </w:r>
    </w:p>
    <w:p w14:paraId="0FA6F0FC"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Chin, W.W. The partial least squares approach to structural equation modeling. In G.A. Marcoulides (ed.), Modern Methods for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Research, Mahwah, NJ : Erlbaum, 1998, pp. 259 - 336.</w:t>
      </w:r>
    </w:p>
    <w:p w14:paraId="1277ABB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Choi, J. ; Nazareth, D.L. ; and Jain, H.K. Implementing service-oriented architecture in organizations. Journal of Management Information Systems 26, 4 ( Spring 2010 ), 253 - 286.</w:t>
      </w:r>
    </w:p>
    <w:p w14:paraId="14047AB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Choudhary, V., and Vithayathil, J. The impact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Should the IT department be organized as a cost center or a profit center? Journal of Management Information Systems 30, 2 ( Fall 2013 ), 67 - 100.</w:t>
      </w:r>
    </w:p>
    <w:p w14:paraId="0AE42DB3"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Clemons, E.K., Dewan, R.M., Kauffman R.J., and Weber, T.A. Understanding the information-based transformation of strategy and society. Journal of Management Information Systems 32, 2 ( August 2017 ) 425 - 456.</w:t>
      </w:r>
    </w:p>
    <w:p w14:paraId="6EB9EB7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lastRenderedPageBreak/>
        <w:t>Collis D.J. </w:t>
      </w:r>
      <w:r w:rsidRPr="00782AD4">
        <w:rPr>
          <w:rFonts w:ascii="Helvetica" w:eastAsia="Times New Roman" w:hAnsi="Helvetica" w:cs="Times New Roman"/>
          <w:b/>
          <w:bCs/>
          <w:i/>
          <w:iCs/>
          <w:color w:val="333333"/>
          <w:bdr w:val="none" w:sz="0" w:space="0" w:color="auto" w:frame="1"/>
        </w:rPr>
        <w:t>How</w:t>
      </w:r>
      <w:r w:rsidRPr="00782AD4">
        <w:rPr>
          <w:rFonts w:ascii="Helvetica" w:eastAsia="Times New Roman" w:hAnsi="Helvetica" w:cs="Times New Roman"/>
          <w:i/>
          <w:iCs/>
          <w:color w:val="333333"/>
          <w:bdr w:val="none" w:sz="0" w:space="0" w:color="auto" w:frame="1"/>
        </w:rPr>
        <w:t> valuable are organizational capabilities? Strategic Management Journal 15, S1 ( December 1994 ), 143 - 152.</w:t>
      </w:r>
    </w:p>
    <w:p w14:paraId="6D8C14D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Constantin, J.A., and Lusch, R.F. Understanding Resource Management. Ann Arbor, MI: U. Michigan, 1994.</w:t>
      </w:r>
    </w:p>
    <w:p w14:paraId="320874D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Cowhey, P., and Kleeman, M. Unlocking the benefits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for emerging economies. Presentation, School of International Relations and Pacific Studies. University of California, San Diego, CA, 2017.</w:t>
      </w:r>
    </w:p>
    <w:p w14:paraId="09764162"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Davern, M., and Kauffman, R. Discovering Potential and Realizing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from Information Technology Investments. Journal of Management Information Systems 16, 4 ( Spring 2000 ), 121 - 143.</w:t>
      </w:r>
    </w:p>
    <w:p w14:paraId="18B6FCB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Demirkan, H. ; Cheng, H. K. ; and Bandyopadhyay, S. Coordination strategies in an SaaS supply chain. Journal of Management Information Systems 26, 4 ( Spring 2010 ), 119 - 143.</w:t>
      </w:r>
    </w:p>
    <w:p w14:paraId="3F0976C2"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Edwards, J.R. Multidimensional constructs in organizational behavior research: An integrative analytical framework. Organizational Research Methods 4, 2 ( April 2001 ), 144 - 192.</w:t>
      </w:r>
    </w:p>
    <w:p w14:paraId="691DC37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Edwards, J.R., and Lambert, L. Methods for integrating moderation and mediation: A general analytical framework using moderated path analysis. Psychological Methods 12, 1 ( March 2007 ), 1 - 22.</w:t>
      </w:r>
    </w:p>
    <w:p w14:paraId="35E1C2D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Ganwani, P. Jindal Steel boosts auctioning with digitization. CIO ( December 20, 2016 ).</w:t>
      </w:r>
    </w:p>
    <w:p w14:paraId="30FD8F6C"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Garrison, G. ; Kim, S. ; and Wakefield, R.L. Success factors for deploying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Communications of the ACM 55, 9 ( September 2012 ), 62 - 68.</w:t>
      </w:r>
    </w:p>
    <w:p w14:paraId="0A73F4BC"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Garrison, G. ; Wakefield, R.L. ; and Kim, S. The effects of IT capabilities and delivery model on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success and firm performance for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supported processes and operations. International Journal of Information Management 35, 4 ( August 2015 ), 377 - 393.</w:t>
      </w:r>
    </w:p>
    <w:p w14:paraId="1D808340"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Geissmann, A., and Legner, C. Designing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models for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platforms. Information Systems Journal 26, 5 ( September 2016 ), 551 - 579.</w:t>
      </w:r>
    </w:p>
    <w:p w14:paraId="6637F58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Gens, F. Worldwide and regional public IT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services 2014-2018 forecast. Report, IDC, Framingham, MA, October 2014.</w:t>
      </w:r>
    </w:p>
    <w:p w14:paraId="0BD24C1B"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Hair Jr., J.F. ; Hult, G.T.M. ; Ringle, C. ; and Sarstedt, M. A Primer on Partial Least Squares Structural Equation Modeling. Los Angeles : Sage, 2016.</w:t>
      </w:r>
    </w:p>
    <w:p w14:paraId="1DBE4D0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Henseler, J. ; Ringle, C.M. ; and Sarsted, M. A new criteria for assessing discriminant validity in variance-based structural equation modeling. Journal of the Academy of Marketing Science 43, 1 ( January 2015 ), 115 - 135.</w:t>
      </w:r>
    </w:p>
    <w:p w14:paraId="289EA9C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Hunt, S.D., and Morgan, R.M. The resource-advantage theory of competition: Dynamics, path dependencies, and evolutionary dimensions. Journal of Marketing 60, 4 ( October 1996 ), 107 - 114.</w:t>
      </w:r>
    </w:p>
    <w:p w14:paraId="69E386F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International Trade Administration. 2016 top markets report: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case study, India. Report, Department of Commerce, U.S. Government, Washington, DC, April 2016.</w:t>
      </w:r>
    </w:p>
    <w:p w14:paraId="58BD8580"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Iyer, B., and Henderson, J.C. Preparing for the future: Understanding the seven capabilities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MIS Quarterly Executive 9, 2 ( June 2010 ), 117 - 131.</w:t>
      </w:r>
    </w:p>
    <w:p w14:paraId="79B75C2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lastRenderedPageBreak/>
        <w:t>Iyer, B., and Henderson, J.C.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from </w:t>
      </w:r>
      <w:r w:rsidRPr="00782AD4">
        <w:rPr>
          <w:rFonts w:ascii="Helvetica" w:eastAsia="Times New Roman" w:hAnsi="Helvetica" w:cs="Times New Roman"/>
          <w:b/>
          <w:bCs/>
          <w:i/>
          <w:iCs/>
          <w:color w:val="333333"/>
          <w:bdr w:val="none" w:sz="0" w:space="0" w:color="auto" w:frame="1"/>
        </w:rPr>
        <w:t>clouds</w:t>
      </w:r>
      <w:r w:rsidRPr="00782AD4">
        <w:rPr>
          <w:rFonts w:ascii="Helvetica" w:eastAsia="Times New Roman" w:hAnsi="Helvetica" w:cs="Times New Roman"/>
          <w:i/>
          <w:iCs/>
          <w:color w:val="333333"/>
          <w:bdr w:val="none" w:sz="0" w:space="0" w:color="auto" w:frame="1"/>
        </w:rPr>
        <w:t>: Learning from users. MIS Quarterly Executive 11, 1 ( March 2012 ), 52 - 60.</w:t>
      </w:r>
    </w:p>
    <w:p w14:paraId="0A586B5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Jackson, J. GoDaddy blames outage on corrupted router tables. PCWorld ( September 11, 2012 ).</w:t>
      </w:r>
    </w:p>
    <w:p w14:paraId="7D1BA50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Karhade, P. ; Shaw, M.J. ; and Subramanyam, R. Patterns in information systems portfolio prioritization. MIS Quarterly 39, 2 ( June 2015 ), 413 - 433.</w:t>
      </w:r>
    </w:p>
    <w:p w14:paraId="2896DA02"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Kathuria, R. ; Porth, S.J. ; Kathuria, N. ; and Kohli, T. Competitive priorities and strategic consensus in emerging economies: Evidence from India. International Journal of Operations and Production Management 30, 8 ( 2010 ), 879 - 896.</w:t>
      </w:r>
    </w:p>
    <w:p w14:paraId="3E3637E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Kauffman, R.J. ; Ma, D. ; and Yu, M. A metrics suite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adoption readiness. Electronic Markets (February 2016 ), 1 - 27.</w:t>
      </w:r>
    </w:p>
    <w:p w14:paraId="410B3CBC"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Kearns, G.S., and Lederer, A.L. A resource‐based view of strategic IT alignment: </w:t>
      </w:r>
      <w:r w:rsidRPr="00782AD4">
        <w:rPr>
          <w:rFonts w:ascii="Helvetica" w:eastAsia="Times New Roman" w:hAnsi="Helvetica" w:cs="Times New Roman"/>
          <w:b/>
          <w:bCs/>
          <w:i/>
          <w:iCs/>
          <w:color w:val="333333"/>
          <w:bdr w:val="none" w:sz="0" w:space="0" w:color="auto" w:frame="1"/>
        </w:rPr>
        <w:t>How</w:t>
      </w:r>
      <w:r w:rsidRPr="00782AD4">
        <w:rPr>
          <w:rFonts w:ascii="Helvetica" w:eastAsia="Times New Roman" w:hAnsi="Helvetica" w:cs="Times New Roman"/>
          <w:i/>
          <w:iCs/>
          <w:color w:val="333333"/>
          <w:bdr w:val="none" w:sz="0" w:space="0" w:color="auto" w:frame="1"/>
        </w:rPr>
        <w:t> knowledge sharing creates competitive advantage. Decision Science 34, 1 ( February 2003 ), 1 - 29.</w:t>
      </w:r>
    </w:p>
    <w:p w14:paraId="6725CB6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Klein, R., and Rai, A. Interfirm strategic information flows in logistics supply chain relationships. MIS Quarterly 33, 4 ( December 2009 ), 735 - 762.</w:t>
      </w:r>
    </w:p>
    <w:p w14:paraId="2FF8A60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Kohli, R., and Grover, V.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of IT: An essay on expanding research directions to keep up with the times. Journal of the Association for Information Systems9, 1 ( 2008 ), 23 - 39.</w:t>
      </w:r>
    </w:p>
    <w:p w14:paraId="7106273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Kumar, A. Digital transformation roadmap: Vipul Anand, Group CIO, Jindal Steel &amp; Power. Express Computer ( December 28, 2016 ).</w:t>
      </w:r>
    </w:p>
    <w:p w14:paraId="141A7C0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Lacity, M.C., and Reynolds, P.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services practices for small and medium-sized enterprises. MIS Quarterly Executive 13, 1 ( March 2014 ), 31 - 44.</w:t>
      </w:r>
    </w:p>
    <w:p w14:paraId="57153B3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Lauchlan, S. Customer data lost as Salesforce U.S. outage rumbles on with degraded performance. Diginomica ( May 12, 2016 ).</w:t>
      </w:r>
    </w:p>
    <w:p w14:paraId="648D6D9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Lee, O.K. ; Sambamurthy, V. ; Lim, K.H. ; and Wei, K.K. </w:t>
      </w:r>
      <w:r w:rsidRPr="00782AD4">
        <w:rPr>
          <w:rFonts w:ascii="Helvetica" w:eastAsia="Times New Roman" w:hAnsi="Helvetica" w:cs="Times New Roman"/>
          <w:b/>
          <w:bCs/>
          <w:i/>
          <w:iCs/>
          <w:color w:val="333333"/>
          <w:bdr w:val="none" w:sz="0" w:space="0" w:color="auto" w:frame="1"/>
        </w:rPr>
        <w:t>How</w:t>
      </w:r>
      <w:r w:rsidRPr="00782AD4">
        <w:rPr>
          <w:rFonts w:ascii="Helvetica" w:eastAsia="Times New Roman" w:hAnsi="Helvetica" w:cs="Times New Roman"/>
          <w:i/>
          <w:iCs/>
          <w:color w:val="333333"/>
          <w:bdr w:val="none" w:sz="0" w:space="0" w:color="auto" w:frame="1"/>
        </w:rPr>
        <w:t> does IT ambidexterity impact organizational agility? Information Systems Research 26, 2 ( June 2015 ), 398 - 417.</w:t>
      </w:r>
    </w:p>
    <w:p w14:paraId="20B1438C"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Li, H., and Atuahene-Gima, K. Product innovation strategy and the performance of new technology ventures in China, Academy of Management Journal 44, 6 ( December 2001 ), 1123 - 1134.</w:t>
      </w:r>
    </w:p>
    <w:p w14:paraId="4B790C9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Lindell, M.K., and Whitney, D.J. Accounting for common method variance in cross-sectional research designs. Journal of Applied Psychology 86, 1 ( February 2001 ), 114 - 121.</w:t>
      </w:r>
    </w:p>
    <w:p w14:paraId="7DE5595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Linthicum, D. </w:t>
      </w:r>
      <w:r w:rsidRPr="00782AD4">
        <w:rPr>
          <w:rFonts w:ascii="Helvetica" w:eastAsia="Times New Roman" w:hAnsi="Helvetica" w:cs="Times New Roman"/>
          <w:b/>
          <w:bCs/>
          <w:i/>
          <w:iCs/>
          <w:color w:val="333333"/>
          <w:bdr w:val="none" w:sz="0" w:space="0" w:color="auto" w:frame="1"/>
        </w:rPr>
        <w:t>How</w:t>
      </w:r>
      <w:r w:rsidRPr="00782AD4">
        <w:rPr>
          <w:rFonts w:ascii="Helvetica" w:eastAsia="Times New Roman" w:hAnsi="Helvetica" w:cs="Times New Roman"/>
          <w:i/>
          <w:iCs/>
          <w:color w:val="333333"/>
          <w:bdr w:val="none" w:sz="0" w:space="0" w:color="auto" w:frame="1"/>
        </w:rPr>
        <w:t> to integrate with the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InfoWorld ( April 27, 2011 ).</w:t>
      </w:r>
    </w:p>
    <w:p w14:paraId="62A25AC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Lowry, P.B., and Gaskin, J. Partial least squares structural equation modeling for building and testing behavioral causal theory: When to choose it and </w:t>
      </w:r>
      <w:r w:rsidRPr="00782AD4">
        <w:rPr>
          <w:rFonts w:ascii="Helvetica" w:eastAsia="Times New Roman" w:hAnsi="Helvetica" w:cs="Times New Roman"/>
          <w:b/>
          <w:bCs/>
          <w:i/>
          <w:iCs/>
          <w:color w:val="333333"/>
          <w:bdr w:val="none" w:sz="0" w:space="0" w:color="auto" w:frame="1"/>
        </w:rPr>
        <w:t>how</w:t>
      </w:r>
      <w:r w:rsidRPr="00782AD4">
        <w:rPr>
          <w:rFonts w:ascii="Helvetica" w:eastAsia="Times New Roman" w:hAnsi="Helvetica" w:cs="Times New Roman"/>
          <w:i/>
          <w:iCs/>
          <w:color w:val="333333"/>
          <w:bdr w:val="none" w:sz="0" w:space="0" w:color="auto" w:frame="1"/>
        </w:rPr>
        <w:t> to use it. IEEE Transactions on Professional Communications 57, 2 ( June 2014 ), 123 - 146.</w:t>
      </w:r>
    </w:p>
    <w:p w14:paraId="0981EA1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Lu, Y., and Ramamurthy, K. Understanding the link between information technology capability and organizational agility: An empirical examination. MIS Quarterly 35, 4 ( December 2011 ), 931 - 954.</w:t>
      </w:r>
    </w:p>
    <w:p w14:paraId="57FE9E7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Madhavaram, S., and Hunt, S.D. The service-dominant logic and a hierarchy of operant resources: Developing masterful operant resources and implications for marketing strategy. Journal of the Academy of Marketing Science 36, 1 ( March 2008 ), 67 - 82.</w:t>
      </w:r>
    </w:p>
    <w:p w14:paraId="5E113B5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lastRenderedPageBreak/>
        <w:t>Makadok, R. Toward a synthesis of the resource-based and dynamic-capability views of rent creation. Strategic Management Journal 22, 5 ( April 2001 ), 387 - 401.</w:t>
      </w:r>
    </w:p>
    <w:p w14:paraId="561DDD08"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Marchand, D.A. ; Kettinger, W.J. ; and Rollins, J.D. Information orientation: People, technology and the bottom line. Sloan Management Review 41, 4 ( July 2000 ), 69 - 80.</w:t>
      </w:r>
    </w:p>
    <w:p w14:paraId="52B55BB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Marston, S. ; Li, Z. ; Bandhyopadhyay, S. ; Zhang, J. ; and Ghalsasi, A.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The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perspective. Decision Support Systems 51, 1 ( April 2011 ), 176 - 189.</w:t>
      </w:r>
    </w:p>
    <w:p w14:paraId="128D47B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Mattoon, S. ; Hensle, B. ; and Baty, J.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maturity model guiding success with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capabilities. White paper, Oracle, Redwood City, CA (December 2011).</w:t>
      </w:r>
    </w:p>
    <w:p w14:paraId="5104FA1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Mell, P., and Grance, A.T. The NIST definition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Recommendations of the National Institute of Standards and Technology. Publ. 800-145, Natl. Inst. of Standards, Gaithersburg, MD, September 2011.</w:t>
      </w:r>
    </w:p>
    <w:p w14:paraId="46FB308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Mithas, S. ; Ramasubbu, N. ; and Sambamurthy, V. </w:t>
      </w:r>
      <w:r w:rsidRPr="00782AD4">
        <w:rPr>
          <w:rFonts w:ascii="Helvetica" w:eastAsia="Times New Roman" w:hAnsi="Helvetica" w:cs="Times New Roman"/>
          <w:b/>
          <w:bCs/>
          <w:i/>
          <w:iCs/>
          <w:color w:val="333333"/>
          <w:bdr w:val="none" w:sz="0" w:space="0" w:color="auto" w:frame="1"/>
        </w:rPr>
        <w:t>How</w:t>
      </w:r>
      <w:r w:rsidRPr="00782AD4">
        <w:rPr>
          <w:rFonts w:ascii="Helvetica" w:eastAsia="Times New Roman" w:hAnsi="Helvetica" w:cs="Times New Roman"/>
          <w:i/>
          <w:iCs/>
          <w:color w:val="333333"/>
          <w:bdr w:val="none" w:sz="0" w:space="0" w:color="auto" w:frame="1"/>
        </w:rPr>
        <w:t> information management capability influences firm performance. MIS Quarterly 35, 1 ( March 2011 ), 237 - 256.</w:t>
      </w:r>
    </w:p>
    <w:p w14:paraId="2D82762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Morgeson, F.V. ; Sharma, P.N. ; and Hult, T. Cross-national differences in consumer satisfaction: Mobile services in emerging and developed markets. Journal of International Marketing 23, 2 ( June 2015 ), 1 - 24.</w:t>
      </w:r>
    </w:p>
    <w:p w14:paraId="00FB835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Mueller, B. ; Viering, G. ; Legner, C. ; and Riempp, G. Understanding the economic potential of service-oriented architecture. Journal of Management Information Systems 26, 4 ( Spring 2010 ), 145 - 180.</w:t>
      </w:r>
    </w:p>
    <w:p w14:paraId="4BEAA44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Nambisan, S. Information technology and product/service innovation: A brief assessment and some suggestions for future research. Journal of the Association for Information Systems 14, 4 ( April 2013 ), 215 - 226.</w:t>
      </w:r>
    </w:p>
    <w:p w14:paraId="03AC30E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Nelson, M. Building an open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Science 324, 5935 ( June 2009 ), 1656 - 657.</w:t>
      </w:r>
    </w:p>
    <w:p w14:paraId="7FDDB4D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Petter, S. ; Straub, D. ; and Rai, A. Specifying formative constructs in information systems research. MIS Quarterly 31, 4 ( December 2007 ), 623 - 656.</w:t>
      </w:r>
    </w:p>
    <w:p w14:paraId="776F4D2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Podsakoff, P.M. ; MacKenzie, S.B. ; Lee, J.Y. ; and Podsakoff, N.P. Common method biases in behavioral research: A critical review of the literature and recommended remedies. Journal of Applied Psychology 88, 5 ( October 2003 ), 879 - 903.</w:t>
      </w:r>
    </w:p>
    <w:p w14:paraId="03F0DD0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Podsakoff, P.M., and Organ, D.W. Self-reports in organizational research: Problems and prospects. Journal of Management 12, 4 ( Winter 1986 ), 531 - 544.</w:t>
      </w:r>
    </w:p>
    <w:p w14:paraId="4A5BAD4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Rai, A. ; Patnayakuni, R. ; and Seth, N. Firm performance impacts of digitally-enabled supply chain integration capabilities. MIS Quarterly 30, 2 ( June 2006 ), 225 - 246.</w:t>
      </w:r>
    </w:p>
    <w:p w14:paraId="3A1474C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Ravichandran, T., and Lertwongsatien, C. Effect of information systems resources and capabilities on firm performance: A resource-based perspective. Journal of Management Information Systems 21, 4 ( Spring 2005 ), 237 - 276.</w:t>
      </w:r>
    </w:p>
    <w:p w14:paraId="3DD108A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Retana, G.F. ; Forman, C. ; Narasimhan, S. ; Niculescu, M.F. ; and Wu, D.J. Technology support and post-adoption information technology service use: Evidence from the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MIS Quarterly ( in press).</w:t>
      </w:r>
    </w:p>
    <w:p w14:paraId="1744D884"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Saran, C. EasyJet lifts off with Azure seat bookings. ComputerWeekly ( January 31, 2013 ).</w:t>
      </w:r>
    </w:p>
    <w:p w14:paraId="4732F32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Saville, D.J., and Wood, G.R. Statistical Methods: The Geometric Approach. New York : Springer, 1991.</w:t>
      </w:r>
    </w:p>
    <w:p w14:paraId="08A6152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lastRenderedPageBreak/>
        <w:t>Schneider, S., and Sunyaev, A. Determinant factors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-sourcing decisions: Reflecting on the IT outsourcing literature in the era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Journal of Information Technology 31, 1 ( April 2016 ), 1 - 31.</w:t>
      </w:r>
    </w:p>
    <w:p w14:paraId="66863CA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Shu, H. ; Kuruzovich, J. ; and Ravichandran, T. Service expansion of product firms in the information technology industry: An empirical study. Journal of Management Information Systems 29, 4 ( Spring 2013 ), 127 - 158.</w:t>
      </w:r>
    </w:p>
    <w:p w14:paraId="46D2ABF0"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Sine, W.D. ; Mitsuhashi, H. ; and Kirsch, D. Revisiting Burns and Stalker: Formal structure and new venture performance in emerging economic sectors. Academy of Management Journal 49, 1 ( February 2006 ), 121 - 132.</w:t>
      </w:r>
    </w:p>
    <w:p w14:paraId="1B1AF00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Sine, W.D. ; Shane, S. ; and Gregario, D.D. The halo effect and technology licensing: The influence of institutional prestige on the licensing of university inventions. Management Science 49, 4 ( April 2003 ), 478 - 496.</w:t>
      </w:r>
    </w:p>
    <w:p w14:paraId="73770E3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Smith, D.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deployments should begin with service definition. Report, Gartner, Stamford, CT, July 28, 2016.</w:t>
      </w:r>
    </w:p>
    <w:p w14:paraId="39692D5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Sobel, M.E. Asymptotic confidence intervals for indirect effects in SEM. Sociological Methods 13 ( 1982 ), 290 - 312.</w:t>
      </w:r>
    </w:p>
    <w:p w14:paraId="12FE63D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Susarla, A. ; Barua, A. ; and Whinston, A.B. Multitask agency, modular architecture, and task disaggregation in SaaS. Journal of Management Information Systems 26, 4 ( Spring 2010 ), 87 - 118.</w:t>
      </w:r>
    </w:p>
    <w:p w14:paraId="4447F549"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Sverdlik, Y. Microsoft to launch Azure data center in India. Data Center Knowledge ( September 30, 2014 ).</w:t>
      </w:r>
    </w:p>
    <w:p w14:paraId="1799B96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Sverdlik, Y. Storage failure brings Salesforce down for some in Europe. Data Center Knowledge ( March 3, 2016 ).</w:t>
      </w:r>
    </w:p>
    <w:p w14:paraId="7F69792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Tallon, P.P. A service science perspective on strategic choice, IT, and performance in U.S. banking. Journal of Management Information Systems 26, 4 ( Spring 2010 ), 219 - 252.</w:t>
      </w:r>
    </w:p>
    <w:p w14:paraId="0C58DE5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Teece D.J. ; Pisano, G. ; and Shuen, A. Dynamic capabilities and strategic management. Strategic Management Journal 18, 7 ( August 1997 ), 509 - 533.</w:t>
      </w:r>
    </w:p>
    <w:p w14:paraId="4856E3C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Tiwana, A., and Konsynski, B. Complementarities between organizational IT architecture and governance structure. Information Systems Research 21, 2 ( June 2010 ), 288 - 304.</w:t>
      </w:r>
    </w:p>
    <w:p w14:paraId="486E501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Tsidulko, J. The eight biggest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outages of 2015 (so far). CRN ( August 14, 2015 ).</w:t>
      </w:r>
    </w:p>
    <w:p w14:paraId="4B047985"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Van Allen, F. The 10 scariest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outages and the lessons learned from them. ZDNet ( September 23, 2016 ).</w:t>
      </w:r>
    </w:p>
    <w:p w14:paraId="05B6CF5E"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Venters, W., and Whitley, E. A critical review of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Researching desires and realities. Journal of Information Technology 27, 3 ( September 2012 ), 179 - 197.</w:t>
      </w:r>
    </w:p>
    <w:p w14:paraId="513DF9C7"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Vincent, J. Twitter goes down in widespread outage. The Verge ( January 19, 2016 ).</w:t>
      </w:r>
    </w:p>
    <w:p w14:paraId="51A41CB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Vithayathil, J. Will </w:t>
      </w:r>
      <w:r w:rsidRPr="00782AD4">
        <w:rPr>
          <w:rFonts w:ascii="Helvetica" w:eastAsia="Times New Roman" w:hAnsi="Helvetica" w:cs="Times New Roman"/>
          <w:b/>
          <w:bCs/>
          <w:i/>
          <w:iCs/>
          <w:color w:val="333333"/>
          <w:bdr w:val="none" w:sz="0" w:space="0" w:color="auto" w:frame="1"/>
        </w:rPr>
        <w:t>cloud</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computing</w:t>
      </w:r>
      <w:r w:rsidRPr="00782AD4">
        <w:rPr>
          <w:rFonts w:ascii="Helvetica" w:eastAsia="Times New Roman" w:hAnsi="Helvetica" w:cs="Times New Roman"/>
          <w:i/>
          <w:iCs/>
          <w:color w:val="333333"/>
          <w:bdr w:val="none" w:sz="0" w:space="0" w:color="auto" w:frame="1"/>
        </w:rPr>
        <w:t> make the information technology (IT) department obsolete? Information Systems Journal 28, 4 (2018), 634-649.</w:t>
      </w:r>
    </w:p>
    <w:p w14:paraId="1FEE4EA8"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Wade, M., and Hulland, J. Review: The resource-based view and information systems research: Review, extension, and suggestions for future research. MIS Quarterly 28, 1 ( March 2004 ), 107 - 142.</w:t>
      </w:r>
    </w:p>
    <w:p w14:paraId="144C4306"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Wang, N. ; Liang, H. ; Zhong, W. ; Xue, Y. ; and Xiao, J. Resource structuring or capability building? An empirical study of the </w:t>
      </w:r>
      <w:r w:rsidRPr="00782AD4">
        <w:rPr>
          <w:rFonts w:ascii="Helvetica" w:eastAsia="Times New Roman" w:hAnsi="Helvetica" w:cs="Times New Roman"/>
          <w:b/>
          <w:bCs/>
          <w:i/>
          <w:iCs/>
          <w:color w:val="333333"/>
          <w:bdr w:val="none" w:sz="0" w:space="0" w:color="auto" w:frame="1"/>
        </w:rPr>
        <w:t>business</w:t>
      </w:r>
      <w:r w:rsidRPr="00782AD4">
        <w:rPr>
          <w:rFonts w:ascii="Helvetica" w:eastAsia="Times New Roman" w:hAnsi="Helvetica" w:cs="Times New Roman"/>
          <w:i/>
          <w:iCs/>
          <w:color w:val="333333"/>
          <w:bdr w:val="none" w:sz="0" w:space="0" w:color="auto" w:frame="1"/>
        </w:rPr>
        <w:t> </w:t>
      </w:r>
      <w:r w:rsidRPr="00782AD4">
        <w:rPr>
          <w:rFonts w:ascii="Helvetica" w:eastAsia="Times New Roman" w:hAnsi="Helvetica" w:cs="Times New Roman"/>
          <w:b/>
          <w:bCs/>
          <w:i/>
          <w:iCs/>
          <w:color w:val="333333"/>
          <w:bdr w:val="none" w:sz="0" w:space="0" w:color="auto" w:frame="1"/>
        </w:rPr>
        <w:t>value</w:t>
      </w:r>
      <w:r w:rsidRPr="00782AD4">
        <w:rPr>
          <w:rFonts w:ascii="Helvetica" w:eastAsia="Times New Roman" w:hAnsi="Helvetica" w:cs="Times New Roman"/>
          <w:i/>
          <w:iCs/>
          <w:color w:val="333333"/>
          <w:bdr w:val="none" w:sz="0" w:space="0" w:color="auto" w:frame="1"/>
        </w:rPr>
        <w:t xml:space="preserve"> of information </w:t>
      </w:r>
      <w:r w:rsidRPr="00782AD4">
        <w:rPr>
          <w:rFonts w:ascii="Helvetica" w:eastAsia="Times New Roman" w:hAnsi="Helvetica" w:cs="Times New Roman"/>
          <w:i/>
          <w:iCs/>
          <w:color w:val="333333"/>
          <w:bdr w:val="none" w:sz="0" w:space="0" w:color="auto" w:frame="1"/>
        </w:rPr>
        <w:lastRenderedPageBreak/>
        <w:t>technology. Journal of Management Information Systems 29, 2 ( August 2012 ), 325 - 367.</w:t>
      </w:r>
    </w:p>
    <w:p w14:paraId="4CB3F54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Williams, C. Revealed: Why Amazon, Netflix, Tinder, AirBnB and co plunged offline. The Register ( September 23, 2015 ).</w:t>
      </w:r>
    </w:p>
    <w:p w14:paraId="2ED666B0"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Winter, S.G. Understanding dynamic capabilities. Strategic Management Journal 24, 10 ( Oct 2003 ), 991 - 995.</w:t>
      </w:r>
    </w:p>
    <w:p w14:paraId="722E2E00"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Winkler, T.J., and Brown, C.V. Horizontal allocation of decision rights for on-premise applications and software-as-a-service. Journal of Management Information Systems 30, 3 ( December 2013 ), 13 - 48.</w:t>
      </w:r>
    </w:p>
    <w:p w14:paraId="70A79B73"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i/>
          <w:iCs/>
          <w:color w:val="333333"/>
          <w:bdr w:val="none" w:sz="0" w:space="0" w:color="auto" w:frame="1"/>
        </w:rPr>
        <w:t>Winkler, T.J. ; Goebel, C. ; Benlian, A. ; Bidault, F. ; and Gunther, O. The impact of software as a service on IS authority: A contingency perspective. In Proceedings of the 32</w:t>
      </w:r>
      <w:r w:rsidRPr="00782AD4">
        <w:rPr>
          <w:rFonts w:ascii="Helvetica" w:eastAsia="Times New Roman" w:hAnsi="Helvetica" w:cs="Times New Roman"/>
          <w:i/>
          <w:iCs/>
          <w:color w:val="333333"/>
          <w:bdr w:val="none" w:sz="0" w:space="0" w:color="auto" w:frame="1"/>
          <w:vertAlign w:val="superscript"/>
        </w:rPr>
        <w:t>nd</w:t>
      </w:r>
      <w:r w:rsidRPr="00782AD4">
        <w:rPr>
          <w:rFonts w:ascii="Helvetica" w:eastAsia="Times New Roman" w:hAnsi="Helvetica" w:cs="Times New Roman"/>
          <w:i/>
          <w:iCs/>
          <w:color w:val="333333"/>
          <w:bdr w:val="none" w:sz="0" w:space="0" w:color="auto" w:frame="1"/>
        </w:rPr>
        <w:t> International Conference on Information Systems, Atlanta: Association for Information Systems, 2011.</w:t>
      </w:r>
    </w:p>
    <w:p w14:paraId="690388E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w:t>
      </w:r>
    </w:p>
    <w:p w14:paraId="47A7148D"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By Abhishek Kathuria; Arti Mann; Jiban Khuntia; Terence J.V. Saldanha and Robert J. Kauffman</w:t>
      </w:r>
    </w:p>
    <w:p w14:paraId="6FCC45E1"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Abhishek Kathuria () is an Assistant Professor of Innovation and Information Management at the Faculty of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and Economics, The University of Hong Kong. He holds a Ph.D. from the Goizueta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School at Emory University. His research interests include the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of IT and the role of IT in innovation, with a focus on emerging economies. His work has been published in has been published in Journal of Management Information Systems, the Communications of the Association for Information Systems and Health Systems and received multiple best paper nominations and awards at academic conferences. Dr. Kathuria is an advisor to and co-founder of multiple startups and consults on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transformation, organizational turnarounds, and IT strategy with public and private corporations in Hong Kong, India, and the Middle East.</w:t>
      </w:r>
    </w:p>
    <w:p w14:paraId="0AA1AEB8"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Arti Mann () is an Assistant Professor of Management at the College of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University of Northern Iowa. She holds a Ph.D. from Arizona State University. Her research interests span the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of IT, theory, and empirical research in information systems (IS) and IT outsourcing, and the use of spatial analysis and econometrics techniques from regional economics and geography. Dr. Mann’s work has appeared in Decision Support Systems, Applied Geography, and various academic conference proceedings. Prior to her graduate studies, she worked in advertising and the IT industry.</w:t>
      </w:r>
    </w:p>
    <w:p w14:paraId="77B8848F"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Jiban Khuntia () is the Ph.D. Program Director and Assistant Professor of Information Systems in the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School at the University of Colorado, Denver. He received his Ph.D. from the Robert H. Smith School of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University of Maryland. Dr. Khuntia’s research is in the areas of digital service innovation and health IT. His work has appeared in journals including Production and Operations Management, Decision Support Systems, Communications of the AIS, and others. Earlier, he had a decade of professional and consulting experience in supercomputing, the IT industry, and government organizations.</w:t>
      </w:r>
    </w:p>
    <w:p w14:paraId="7CC2593B"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lastRenderedPageBreak/>
        <w:t>Terence J.V. Saldanha () is an Assistant Professor of Information Systems in the Carson College of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at Washington State University. He received his Ph.D. in Information Systems from the Stephen Ross School of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at the University of Michigan. His research interests include the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w:t>
      </w:r>
      <w:r w:rsidRPr="00782AD4">
        <w:rPr>
          <w:rFonts w:ascii="Helvetica" w:eastAsia="Times New Roman" w:hAnsi="Helvetica" w:cs="Times New Roman"/>
          <w:b/>
          <w:bCs/>
          <w:color w:val="333333"/>
          <w:bdr w:val="none" w:sz="0" w:space="0" w:color="auto" w:frame="1"/>
        </w:rPr>
        <w:t>value</w:t>
      </w:r>
      <w:r w:rsidRPr="00782AD4">
        <w:rPr>
          <w:rFonts w:ascii="Helvetica" w:eastAsia="Times New Roman" w:hAnsi="Helvetica" w:cs="Times New Roman"/>
          <w:color w:val="333333"/>
        </w:rPr>
        <w:t> of IS, and the role of IS in innovation. His research has been published in journals such as MIS Quarterly, Journal of Operations Management, and Production and Operations Management, among others, and in various academic conference proceedings. Prior to his graduate studies, he worked in the software development industry.</w:t>
      </w:r>
    </w:p>
    <w:p w14:paraId="46E6333B"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Robert J. Kauffman (; corresponding author) is Professor of Information Systems at the School of Information Systems, Singapore Management University. He also recently serves as Associate Dean (Faculty). He holds a Ph.D. from Carnegie Mellon University. Dr. Kauffman was a Distinguished Visiting Fellow at the Center for Digital Strategies at the Tuck School of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at Dartmouth and served on the faculty at </w:t>
      </w:r>
      <w:r w:rsidRPr="00782AD4">
        <w:rPr>
          <w:rFonts w:ascii="Helvetica" w:eastAsia="Times New Roman" w:hAnsi="Helvetica" w:cs="Times New Roman"/>
          <w:b/>
          <w:bCs/>
          <w:color w:val="333333"/>
          <w:bdr w:val="none" w:sz="0" w:space="0" w:color="auto" w:frame="1"/>
        </w:rPr>
        <w:t>business</w:t>
      </w:r>
      <w:r w:rsidRPr="00782AD4">
        <w:rPr>
          <w:rFonts w:ascii="Helvetica" w:eastAsia="Times New Roman" w:hAnsi="Helvetica" w:cs="Times New Roman"/>
          <w:color w:val="333333"/>
        </w:rPr>
        <w:t> schools of New York University, the University of Rochester, the University of Minnesota, and Arizona State University, where he held the W.P. Carey Chair in Information Systems. His interdisciplinary research spans strategy, information, IT, economics, marketing and consumer behavior, fintech, environmental sustainability, and computational social science and data analytics. His papers have appeared in Management Science, Information Systems Research, Journal of Management Information Systems, MIS Quarterly, Organization Science, and the Review of Economics and Statistics, among others.</w:t>
      </w:r>
    </w:p>
    <w:p w14:paraId="08482F96" w14:textId="77777777" w:rsidR="00782AD4" w:rsidRPr="00782AD4" w:rsidRDefault="009D5253" w:rsidP="00782AD4">
      <w:pPr>
        <w:rPr>
          <w:rFonts w:ascii="Times New Roman" w:eastAsia="Times New Roman" w:hAnsi="Times New Roman" w:cs="Times New Roman"/>
        </w:rPr>
      </w:pPr>
      <w:r w:rsidRPr="00782AD4">
        <w:rPr>
          <w:rFonts w:ascii="Times New Roman" w:eastAsia="Times New Roman" w:hAnsi="Times New Roman" w:cs="Times New Roman"/>
          <w:noProof/>
        </w:rPr>
        <w:pict w14:anchorId="469CC628">
          <v:rect id="_x0000_i1025" alt="" style="width:468pt;height:.05pt;mso-width-percent:0;mso-height-percent:0;mso-width-percent:0;mso-height-percent:0" o:hrstd="t" o:hrnoshade="t" o:hr="t" fillcolor="#333" stroked="f"/>
        </w:pict>
      </w:r>
    </w:p>
    <w:p w14:paraId="5456361A" w14:textId="77777777" w:rsidR="00782AD4" w:rsidRPr="00782AD4" w:rsidRDefault="00782AD4" w:rsidP="00782AD4">
      <w:pPr>
        <w:textAlignment w:val="baseline"/>
        <w:rPr>
          <w:rFonts w:ascii="Helvetica" w:eastAsia="Times New Roman" w:hAnsi="Helvetica" w:cs="Times New Roman"/>
          <w:color w:val="333333"/>
        </w:rPr>
      </w:pPr>
      <w:r w:rsidRPr="00782AD4">
        <w:rPr>
          <w:rFonts w:ascii="Helvetica" w:eastAsia="Times New Roman" w:hAnsi="Helvetica" w:cs="Times New Roman"/>
          <w:color w:val="333333"/>
        </w:rPr>
        <w:t>Copyright of Journal of Management Information Systems is the property of Taylor &amp; Francis Ltd and its content may not be copied or emailed to multiple sites or posted to a listserv without the copyright holder's express written permission. However, users may print, download, or email articles for individual use.</w:t>
      </w:r>
    </w:p>
    <w:p w14:paraId="5228606B" w14:textId="77777777" w:rsidR="004C47F6" w:rsidRPr="00782AD4" w:rsidRDefault="009D5253"/>
    <w:sectPr w:rsidR="004C47F6" w:rsidRPr="00782AD4" w:rsidSect="00272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AD4"/>
    <w:rsid w:val="00272281"/>
    <w:rsid w:val="00713C33"/>
    <w:rsid w:val="00782AD4"/>
    <w:rsid w:val="009D5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12614"/>
  <w15:chartTrackingRefBased/>
  <w15:docId w15:val="{29024250-ED46-8F47-B53E-98EF56F6C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82AD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82AD4"/>
    <w:rPr>
      <w:rFonts w:ascii="Times New Roman" w:eastAsia="Times New Roman" w:hAnsi="Times New Roman" w:cs="Times New Roman"/>
      <w:b/>
      <w:bCs/>
      <w:sz w:val="27"/>
      <w:szCs w:val="27"/>
    </w:rPr>
  </w:style>
  <w:style w:type="paragraph" w:customStyle="1" w:styleId="msonormal0">
    <w:name w:val="msonormal"/>
    <w:basedOn w:val="Normal"/>
    <w:rsid w:val="00782AD4"/>
    <w:pPr>
      <w:spacing w:before="100" w:beforeAutospacing="1" w:after="100" w:afterAutospacing="1"/>
    </w:pPr>
    <w:rPr>
      <w:rFonts w:ascii="Times New Roman" w:eastAsia="Times New Roman" w:hAnsi="Times New Roman" w:cs="Times New Roman"/>
    </w:rPr>
  </w:style>
  <w:style w:type="paragraph" w:customStyle="1" w:styleId="body-paragraph">
    <w:name w:val="body-paragraph"/>
    <w:basedOn w:val="Normal"/>
    <w:rsid w:val="00782AD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82AD4"/>
    <w:rPr>
      <w:b/>
      <w:bCs/>
    </w:rPr>
  </w:style>
  <w:style w:type="character" w:customStyle="1" w:styleId="apple-converted-space">
    <w:name w:val="apple-converted-space"/>
    <w:basedOn w:val="DefaultParagraphFont"/>
    <w:rsid w:val="00782AD4"/>
  </w:style>
  <w:style w:type="character" w:customStyle="1" w:styleId="medium-bold">
    <w:name w:val="medium-bold"/>
    <w:basedOn w:val="DefaultParagraphFont"/>
    <w:rsid w:val="00782AD4"/>
  </w:style>
  <w:style w:type="character" w:styleId="Hyperlink">
    <w:name w:val="Hyperlink"/>
    <w:basedOn w:val="DefaultParagraphFont"/>
    <w:uiPriority w:val="99"/>
    <w:semiHidden/>
    <w:unhideWhenUsed/>
    <w:rsid w:val="00782AD4"/>
    <w:rPr>
      <w:color w:val="0000FF"/>
      <w:u w:val="single"/>
    </w:rPr>
  </w:style>
  <w:style w:type="character" w:styleId="FollowedHyperlink">
    <w:name w:val="FollowedHyperlink"/>
    <w:basedOn w:val="DefaultParagraphFont"/>
    <w:uiPriority w:val="99"/>
    <w:semiHidden/>
    <w:unhideWhenUsed/>
    <w:rsid w:val="00782AD4"/>
    <w:rPr>
      <w:color w:val="800080"/>
      <w:u w:val="single"/>
    </w:rPr>
  </w:style>
  <w:style w:type="character" w:styleId="Emphasis">
    <w:name w:val="Emphasis"/>
    <w:basedOn w:val="DefaultParagraphFont"/>
    <w:uiPriority w:val="20"/>
    <w:qFormat/>
    <w:rsid w:val="00782AD4"/>
    <w:rPr>
      <w:i/>
      <w:iCs/>
    </w:rPr>
  </w:style>
  <w:style w:type="paragraph" w:styleId="NormalWeb">
    <w:name w:val="Normal (Web)"/>
    <w:basedOn w:val="Normal"/>
    <w:uiPriority w:val="99"/>
    <w:semiHidden/>
    <w:unhideWhenUsed/>
    <w:rsid w:val="00782AD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801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0a%09%09%09%09%09%09" TargetMode="External"/><Relationship Id="rId21"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42" Type="http://schemas.openxmlformats.org/officeDocument/2006/relationships/hyperlink" Target="%0a%09%09%09%09%09%09" TargetMode="External"/><Relationship Id="rId47" Type="http://schemas.openxmlformats.org/officeDocument/2006/relationships/hyperlink" Target="%0a%09%09%09%09%09%09" TargetMode="External"/><Relationship Id="rId63"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68" Type="http://schemas.openxmlformats.org/officeDocument/2006/relationships/hyperlink" Target="%0a%09%09%09%09" TargetMode="External"/><Relationship Id="rId16" Type="http://schemas.openxmlformats.org/officeDocument/2006/relationships/hyperlink" Target="%0a%09%09%09%09%09%09" TargetMode="External"/><Relationship Id="rId11" Type="http://schemas.openxmlformats.org/officeDocument/2006/relationships/hyperlink" Target="%0a%09%09%09%09%09%09" TargetMode="External"/><Relationship Id="rId24" Type="http://schemas.openxmlformats.org/officeDocument/2006/relationships/hyperlink" Target="%0a%09%09%09%09%09%09" TargetMode="External"/><Relationship Id="rId32"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37" Type="http://schemas.openxmlformats.org/officeDocument/2006/relationships/hyperlink" Target="%0a%09%09%09%09%09%09" TargetMode="External"/><Relationship Id="rId40" Type="http://schemas.openxmlformats.org/officeDocument/2006/relationships/hyperlink" Target="%0a%09%09%09%09%09%09" TargetMode="External"/><Relationship Id="rId45"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53"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58"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66"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74" Type="http://schemas.openxmlformats.org/officeDocument/2006/relationships/hyperlink" Target="%0a%09%09%09%09" TargetMode="External"/><Relationship Id="rId5" Type="http://schemas.openxmlformats.org/officeDocument/2006/relationships/hyperlink" Target="%0a%09%09%09%09%09%09" TargetMode="External"/><Relationship Id="rId61" Type="http://schemas.openxmlformats.org/officeDocument/2006/relationships/hyperlink" Target="%0a%09%09%09%09%09%09" TargetMode="External"/><Relationship Id="rId19"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14"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22" Type="http://schemas.openxmlformats.org/officeDocument/2006/relationships/hyperlink" Target="%0a%09%09%09%09%09%09" TargetMode="External"/><Relationship Id="rId27" Type="http://schemas.openxmlformats.org/officeDocument/2006/relationships/hyperlink" Target="%0a%09%09%09%09%09%09" TargetMode="External"/><Relationship Id="rId30" Type="http://schemas.openxmlformats.org/officeDocument/2006/relationships/hyperlink" Target="%0a%09%09%09%09%09%09" TargetMode="External"/><Relationship Id="rId35" Type="http://schemas.openxmlformats.org/officeDocument/2006/relationships/hyperlink" Target="%0a%09%09%09%09%09%09" TargetMode="External"/><Relationship Id="rId43" Type="http://schemas.openxmlformats.org/officeDocument/2006/relationships/hyperlink" Target="%0a%09%09%09%09%09%09" TargetMode="External"/><Relationship Id="rId48"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56" Type="http://schemas.openxmlformats.org/officeDocument/2006/relationships/hyperlink" Target="%0a%09%09%09%09%09%09" TargetMode="External"/><Relationship Id="rId64"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69" Type="http://schemas.openxmlformats.org/officeDocument/2006/relationships/hyperlink" Target="%0a%09%09%09%09" TargetMode="External"/><Relationship Id="rId77" Type="http://schemas.openxmlformats.org/officeDocument/2006/relationships/fontTable" Target="fontTable.xml"/><Relationship Id="rId8"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51"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72" Type="http://schemas.openxmlformats.org/officeDocument/2006/relationships/hyperlink" Target="%0a%09%09%09%09" TargetMode="External"/><Relationship Id="rId3" Type="http://schemas.openxmlformats.org/officeDocument/2006/relationships/webSettings" Target="webSettings.xml"/><Relationship Id="rId12" Type="http://schemas.openxmlformats.org/officeDocument/2006/relationships/hyperlink" Target="%0a%09%09%09%09%09%09" TargetMode="External"/><Relationship Id="rId17" Type="http://schemas.openxmlformats.org/officeDocument/2006/relationships/hyperlink" Target="%0a%09%09%09%09%09%09" TargetMode="External"/><Relationship Id="rId25" Type="http://schemas.openxmlformats.org/officeDocument/2006/relationships/hyperlink" Target="%0a%09%09%09%09%09%09" TargetMode="External"/><Relationship Id="rId33"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38" Type="http://schemas.openxmlformats.org/officeDocument/2006/relationships/hyperlink" Target="%0a%09%09%09%09%09%09" TargetMode="External"/><Relationship Id="rId46"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59" Type="http://schemas.openxmlformats.org/officeDocument/2006/relationships/hyperlink" Target="%0a%09%09%09%09%09%09" TargetMode="External"/><Relationship Id="rId67" Type="http://schemas.openxmlformats.org/officeDocument/2006/relationships/hyperlink" Target="%0a%09%09%09%09" TargetMode="External"/><Relationship Id="rId20"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41"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54"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62"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70" Type="http://schemas.openxmlformats.org/officeDocument/2006/relationships/hyperlink" Target="%0a%09%09%09%09" TargetMode="External"/><Relationship Id="rId75" Type="http://schemas.openxmlformats.org/officeDocument/2006/relationships/hyperlink" Target="%0a%09%09%09%09" TargetMode="External"/><Relationship Id="rId1" Type="http://schemas.openxmlformats.org/officeDocument/2006/relationships/styles" Target="styles.xml"/><Relationship Id="rId6" Type="http://schemas.openxmlformats.org/officeDocument/2006/relationships/hyperlink" Target="%0a%09%09%09%09%09%09" TargetMode="External"/><Relationship Id="rId15" Type="http://schemas.openxmlformats.org/officeDocument/2006/relationships/hyperlink" Target="%0a%09%09%09%09%09%09" TargetMode="External"/><Relationship Id="rId23" Type="http://schemas.openxmlformats.org/officeDocument/2006/relationships/hyperlink" Target="%0a%09%09%09%09%09%09" TargetMode="External"/><Relationship Id="rId28" Type="http://schemas.openxmlformats.org/officeDocument/2006/relationships/hyperlink" Target="%0a%09%09%09%09%09%09" TargetMode="External"/><Relationship Id="rId36" Type="http://schemas.openxmlformats.org/officeDocument/2006/relationships/hyperlink" Target="%0a%09%09%09%09%09%09" TargetMode="External"/><Relationship Id="rId49"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57"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10" Type="http://schemas.openxmlformats.org/officeDocument/2006/relationships/hyperlink" Target="%0a%09%09%09%09%09%09" TargetMode="External"/><Relationship Id="rId31" Type="http://schemas.openxmlformats.org/officeDocument/2006/relationships/hyperlink" Target="%0a%09%09%09%09%09%09" TargetMode="External"/><Relationship Id="rId44" Type="http://schemas.openxmlformats.org/officeDocument/2006/relationships/hyperlink" Target="%0a%09%09%09%09%09%09" TargetMode="External"/><Relationship Id="rId52"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60" Type="http://schemas.openxmlformats.org/officeDocument/2006/relationships/hyperlink" Target="%0a%09%09%09%09%09%09" TargetMode="External"/><Relationship Id="rId65"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73" Type="http://schemas.openxmlformats.org/officeDocument/2006/relationships/hyperlink" Target="%0a%09%09%09%09" TargetMode="External"/><Relationship Id="rId78" Type="http://schemas.openxmlformats.org/officeDocument/2006/relationships/theme" Target="theme/theme1.xml"/><Relationship Id="rId4"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9" Type="http://schemas.openxmlformats.org/officeDocument/2006/relationships/hyperlink" Target="%0a%09%09%09%09%09%09" TargetMode="External"/><Relationship Id="rId13" Type="http://schemas.openxmlformats.org/officeDocument/2006/relationships/hyperlink" Target="%0a%09%09%09%09%09%09" TargetMode="External"/><Relationship Id="rId18" Type="http://schemas.openxmlformats.org/officeDocument/2006/relationships/hyperlink" Target="%0a%09%09%09%09%09%09" TargetMode="External"/><Relationship Id="rId39" Type="http://schemas.openxmlformats.org/officeDocument/2006/relationships/hyperlink" Target="%0a%09%09%09%09%09%09" TargetMode="External"/><Relationship Id="rId34"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50"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55"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76"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7" Type="http://schemas.openxmlformats.org/officeDocument/2006/relationships/hyperlink" Target="http://eds.b.ebscohost.com.libraryresources.columbiasouthern.edu/eds/detail/detail?vid=1&amp;sid=ea5e4b8c-5a4f-4769-b5de-ec427c9b9b38%40pdc-v-sessmgr04&amp;bdata=JnNpdGU9ZWRzLWxpdmUmc2NvcGU9c2l0ZQ%3d%3d" TargetMode="External"/><Relationship Id="rId71" Type="http://schemas.openxmlformats.org/officeDocument/2006/relationships/hyperlink" Target="%0a%09%09%09%09" TargetMode="External"/><Relationship Id="rId2" Type="http://schemas.openxmlformats.org/officeDocument/2006/relationships/settings" Target="settings.xml"/><Relationship Id="rId29" Type="http://schemas.openxmlformats.org/officeDocument/2006/relationships/hyperlink" Target="%0a%09%09%09%09%09%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18317</Words>
  <Characters>104412</Characters>
  <Application>Microsoft Office Word</Application>
  <DocSecurity>0</DocSecurity>
  <Lines>870</Lines>
  <Paragraphs>244</Paragraphs>
  <ScaleCrop>false</ScaleCrop>
  <Company/>
  <LinksUpToDate>false</LinksUpToDate>
  <CharactersWithSpaces>122485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DayJa Lowe</dc:creator>
  <cp:keywords/>
  <dc:description/>
  <cp:lastModifiedBy>DayJa Lowe</cp:lastModifiedBy>
  <cp:revision>1</cp:revision>
  <dcterms:created xsi:type="dcterms:W3CDTF">2020-10-25T15:00:00Z</dcterms:created>
  <dcterms:modified xsi:type="dcterms:W3CDTF">2020-10-25T15:01:00Z</dcterms:modified>
</cp:coreProperties>
</file>