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8412FB" w:rsidRDefault="003F7A36" w:rsidP="003D366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Coaching Philosophy </w:t>
      </w:r>
    </w:p>
    <w:p w:rsidR="0045019C" w:rsidRDefault="0045019C" w:rsidP="003D366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45019C" w:rsidRDefault="0045019C" w:rsidP="003D366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45019C" w:rsidRDefault="0045019C" w:rsidP="003D3666">
      <w:pPr>
        <w:spacing w:after="0" w:line="480" w:lineRule="auto"/>
        <w:contextualSpacing/>
        <w:jc w:val="center"/>
        <w:rPr>
          <w:rFonts w:ascii="Times New Roman" w:hAnsi="Times New Roman" w:cs="Times New Roman"/>
          <w:sz w:val="24"/>
          <w:szCs w:val="24"/>
        </w:rPr>
      </w:pPr>
    </w:p>
    <w:p w:rsidR="003D3666" w:rsidRDefault="003D3666">
      <w:pPr>
        <w:rPr>
          <w:rFonts w:ascii="Times New Roman" w:hAnsi="Times New Roman" w:cs="Times New Roman"/>
          <w:sz w:val="24"/>
          <w:szCs w:val="24"/>
        </w:rPr>
      </w:pPr>
      <w:r>
        <w:rPr>
          <w:rFonts w:ascii="Times New Roman" w:hAnsi="Times New Roman" w:cs="Times New Roman"/>
          <w:sz w:val="24"/>
          <w:szCs w:val="24"/>
        </w:rPr>
        <w:br w:type="page"/>
      </w:r>
    </w:p>
    <w:p w:rsidR="0045019C" w:rsidRDefault="0045019C" w:rsidP="003D3666">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Coaching Philosophy </w:t>
      </w:r>
    </w:p>
    <w:p w:rsidR="003F7A36" w:rsidRDefault="003F7A36" w:rsidP="003D36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coaching philosophy, the coach makes the opening effective since he/she is offering assistance to those being coached with an aim of helping them implement change and achieve the desired goals. This makes it appealing to the reader because the coach has the capacity to bring out </w:t>
      </w:r>
      <w:r w:rsidR="00116A9C">
        <w:rPr>
          <w:rFonts w:ascii="Times New Roman" w:hAnsi="Times New Roman" w:cs="Times New Roman"/>
          <w:sz w:val="24"/>
          <w:szCs w:val="24"/>
        </w:rPr>
        <w:t>precise</w:t>
      </w:r>
      <w:r>
        <w:rPr>
          <w:rFonts w:ascii="Times New Roman" w:hAnsi="Times New Roman" w:cs="Times New Roman"/>
          <w:sz w:val="24"/>
          <w:szCs w:val="24"/>
        </w:rPr>
        <w:t xml:space="preserve"> and well-defined </w:t>
      </w:r>
      <w:r w:rsidR="00116A9C">
        <w:rPr>
          <w:rFonts w:ascii="Times New Roman" w:hAnsi="Times New Roman" w:cs="Times New Roman"/>
          <w:sz w:val="24"/>
          <w:szCs w:val="24"/>
        </w:rPr>
        <w:t>subjects</w:t>
      </w:r>
      <w:r>
        <w:rPr>
          <w:rFonts w:ascii="Times New Roman" w:hAnsi="Times New Roman" w:cs="Times New Roman"/>
          <w:sz w:val="24"/>
          <w:szCs w:val="24"/>
        </w:rPr>
        <w:t xml:space="preserve"> to the </w:t>
      </w:r>
      <w:r w:rsidR="00116A9C">
        <w:rPr>
          <w:rFonts w:ascii="Times New Roman" w:hAnsi="Times New Roman" w:cs="Times New Roman"/>
          <w:sz w:val="24"/>
          <w:szCs w:val="24"/>
        </w:rPr>
        <w:t>care</w:t>
      </w:r>
      <w:r>
        <w:rPr>
          <w:rFonts w:ascii="Times New Roman" w:hAnsi="Times New Roman" w:cs="Times New Roman"/>
          <w:sz w:val="24"/>
          <w:szCs w:val="24"/>
        </w:rPr>
        <w:t xml:space="preserve"> of the readers and </w:t>
      </w:r>
      <w:r w:rsidR="0066691B">
        <w:rPr>
          <w:rFonts w:ascii="Times New Roman" w:hAnsi="Times New Roman" w:cs="Times New Roman"/>
          <w:sz w:val="24"/>
          <w:szCs w:val="24"/>
        </w:rPr>
        <w:t>makes</w:t>
      </w:r>
      <w:r>
        <w:rPr>
          <w:rFonts w:ascii="Times New Roman" w:hAnsi="Times New Roman" w:cs="Times New Roman"/>
          <w:sz w:val="24"/>
          <w:szCs w:val="24"/>
        </w:rPr>
        <w:t xml:space="preserve"> each </w:t>
      </w:r>
      <w:r w:rsidR="0066691B">
        <w:rPr>
          <w:rFonts w:ascii="Times New Roman" w:hAnsi="Times New Roman" w:cs="Times New Roman"/>
          <w:sz w:val="24"/>
          <w:szCs w:val="24"/>
        </w:rPr>
        <w:t>hearing</w:t>
      </w:r>
      <w:r>
        <w:rPr>
          <w:rFonts w:ascii="Times New Roman" w:hAnsi="Times New Roman" w:cs="Times New Roman"/>
          <w:sz w:val="24"/>
          <w:szCs w:val="24"/>
        </w:rPr>
        <w:t xml:space="preserve"> with </w:t>
      </w:r>
      <w:r w:rsidR="0066691B">
        <w:rPr>
          <w:rFonts w:ascii="Times New Roman" w:hAnsi="Times New Roman" w:cs="Times New Roman"/>
          <w:sz w:val="24"/>
          <w:szCs w:val="24"/>
        </w:rPr>
        <w:t>evidence</w:t>
      </w:r>
      <w:r>
        <w:rPr>
          <w:rFonts w:ascii="Times New Roman" w:hAnsi="Times New Roman" w:cs="Times New Roman"/>
          <w:sz w:val="24"/>
          <w:szCs w:val="24"/>
        </w:rPr>
        <w:t xml:space="preserve">, examples, and </w:t>
      </w:r>
      <w:r w:rsidR="0066691B">
        <w:rPr>
          <w:rFonts w:ascii="Times New Roman" w:hAnsi="Times New Roman" w:cs="Times New Roman"/>
          <w:sz w:val="24"/>
          <w:szCs w:val="24"/>
        </w:rPr>
        <w:t>notions</w:t>
      </w:r>
      <w:r>
        <w:rPr>
          <w:rFonts w:ascii="Times New Roman" w:hAnsi="Times New Roman" w:cs="Times New Roman"/>
          <w:sz w:val="24"/>
          <w:szCs w:val="24"/>
        </w:rPr>
        <w:t xml:space="preserve"> that are </w:t>
      </w:r>
      <w:r w:rsidR="0066691B">
        <w:rPr>
          <w:rFonts w:ascii="Times New Roman" w:hAnsi="Times New Roman" w:cs="Times New Roman"/>
          <w:sz w:val="24"/>
          <w:szCs w:val="24"/>
        </w:rPr>
        <w:t>set</w:t>
      </w:r>
      <w:r>
        <w:rPr>
          <w:rFonts w:ascii="Times New Roman" w:hAnsi="Times New Roman" w:cs="Times New Roman"/>
          <w:sz w:val="24"/>
          <w:szCs w:val="24"/>
        </w:rPr>
        <w:t xml:space="preserve"> for </w:t>
      </w:r>
      <w:r w:rsidR="0066691B">
        <w:rPr>
          <w:rFonts w:ascii="Times New Roman" w:hAnsi="Times New Roman" w:cs="Times New Roman"/>
          <w:sz w:val="24"/>
          <w:szCs w:val="24"/>
        </w:rPr>
        <w:t>debate</w:t>
      </w:r>
      <w:r w:rsidR="00C65852">
        <w:rPr>
          <w:rFonts w:ascii="Times New Roman" w:hAnsi="Times New Roman" w:cs="Times New Roman"/>
          <w:sz w:val="24"/>
          <w:szCs w:val="24"/>
        </w:rPr>
        <w:t xml:space="preserve"> (</w:t>
      </w:r>
      <w:r w:rsidR="003D3666" w:rsidRPr="00C65852">
        <w:rPr>
          <w:rFonts w:ascii="Times New Roman" w:hAnsi="Times New Roman" w:cs="Times New Roman"/>
          <w:sz w:val="24"/>
          <w:szCs w:val="24"/>
        </w:rPr>
        <w:t>Gerald &amp;</w:t>
      </w:r>
      <w:r w:rsidR="00C65852" w:rsidRPr="00C65852">
        <w:rPr>
          <w:rFonts w:ascii="Times New Roman" w:hAnsi="Times New Roman" w:cs="Times New Roman"/>
          <w:sz w:val="24"/>
          <w:szCs w:val="24"/>
        </w:rPr>
        <w:t xml:space="preserve"> Birkenste</w:t>
      </w:r>
      <w:r w:rsidR="00C65852">
        <w:rPr>
          <w:rFonts w:ascii="Times New Roman" w:hAnsi="Times New Roman" w:cs="Times New Roman"/>
          <w:sz w:val="24"/>
          <w:szCs w:val="24"/>
        </w:rPr>
        <w:t>i</w:t>
      </w:r>
      <w:r w:rsidR="00C65852" w:rsidRPr="00C65852">
        <w:rPr>
          <w:rFonts w:ascii="Times New Roman" w:hAnsi="Times New Roman" w:cs="Times New Roman"/>
          <w:sz w:val="24"/>
          <w:szCs w:val="24"/>
        </w:rPr>
        <w:t>n</w:t>
      </w:r>
      <w:r w:rsidR="00C65852">
        <w:rPr>
          <w:rFonts w:ascii="Times New Roman" w:hAnsi="Times New Roman" w:cs="Times New Roman"/>
          <w:sz w:val="24"/>
          <w:szCs w:val="24"/>
        </w:rPr>
        <w:t>, 2008)</w:t>
      </w:r>
      <w:r>
        <w:rPr>
          <w:rFonts w:ascii="Times New Roman" w:hAnsi="Times New Roman" w:cs="Times New Roman"/>
          <w:sz w:val="24"/>
          <w:szCs w:val="24"/>
        </w:rPr>
        <w:t xml:space="preserve">. </w:t>
      </w:r>
      <w:r w:rsidR="00215AEB">
        <w:rPr>
          <w:rFonts w:ascii="Times New Roman" w:hAnsi="Times New Roman" w:cs="Times New Roman"/>
          <w:sz w:val="24"/>
          <w:szCs w:val="24"/>
        </w:rPr>
        <w:t xml:space="preserve">Throughout the guide, Graff uses the phrase ‘they say/I say as a way to guide the reader with the specific message that the writer’s point of view can cause the last to be the focus of the summary thus distracting the writer from the main target. In this context, the main target is summarizing the author’s argument. </w:t>
      </w:r>
    </w:p>
    <w:p w:rsidR="00215AEB" w:rsidRDefault="00215AEB" w:rsidP="003D36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Graff uses </w:t>
      </w:r>
      <w:r w:rsidR="00477C75">
        <w:rPr>
          <w:rFonts w:ascii="Times New Roman" w:hAnsi="Times New Roman" w:cs="Times New Roman"/>
          <w:sz w:val="24"/>
          <w:szCs w:val="24"/>
        </w:rPr>
        <w:t>anecdotal</w:t>
      </w:r>
      <w:r>
        <w:rPr>
          <w:rFonts w:ascii="Times New Roman" w:hAnsi="Times New Roman" w:cs="Times New Roman"/>
          <w:sz w:val="24"/>
          <w:szCs w:val="24"/>
        </w:rPr>
        <w:t xml:space="preserve"> evidence so that there can be a connection with his audience since he knows what it was like to not enjoy learning. There is a continuous explanation of the conflict between discussion and conversation which indicates that there is a mutual exchange between two or more people</w:t>
      </w:r>
      <w:r w:rsidR="00531A69">
        <w:rPr>
          <w:rFonts w:ascii="Times New Roman" w:hAnsi="Times New Roman" w:cs="Times New Roman"/>
          <w:sz w:val="24"/>
          <w:szCs w:val="24"/>
        </w:rPr>
        <w:t xml:space="preserve">. In this the conflict is brought by the coach to the readers and its only him/her who can end it. He bridges the two by bringing out dialogue reserved for dramatic conversations and not discussions where both the reader and coach should not dwell on one subject. </w:t>
      </w:r>
      <w:r w:rsidR="00477C75">
        <w:rPr>
          <w:rFonts w:ascii="Times New Roman" w:hAnsi="Times New Roman" w:cs="Times New Roman"/>
          <w:sz w:val="24"/>
          <w:szCs w:val="24"/>
        </w:rPr>
        <w:t>However</w:t>
      </w:r>
      <w:r w:rsidR="006E44B8">
        <w:rPr>
          <w:rFonts w:ascii="Times New Roman" w:hAnsi="Times New Roman" w:cs="Times New Roman"/>
          <w:sz w:val="24"/>
          <w:szCs w:val="24"/>
        </w:rPr>
        <w:t>, approaching a topic through academic eyes is importance since it determines the content that will be portrayed to the audience in writing</w:t>
      </w:r>
      <w:r w:rsidR="00C65852">
        <w:rPr>
          <w:rFonts w:ascii="Times New Roman" w:hAnsi="Times New Roman" w:cs="Times New Roman"/>
          <w:sz w:val="24"/>
          <w:szCs w:val="24"/>
        </w:rPr>
        <w:t xml:space="preserve"> (</w:t>
      </w:r>
      <w:r w:rsidR="003D3666" w:rsidRPr="00C65852">
        <w:rPr>
          <w:rFonts w:ascii="Times New Roman" w:hAnsi="Times New Roman" w:cs="Times New Roman"/>
          <w:sz w:val="24"/>
          <w:szCs w:val="24"/>
        </w:rPr>
        <w:t>Gerald &amp;</w:t>
      </w:r>
      <w:r w:rsidR="00C65852" w:rsidRPr="00C65852">
        <w:rPr>
          <w:rFonts w:ascii="Times New Roman" w:hAnsi="Times New Roman" w:cs="Times New Roman"/>
          <w:sz w:val="24"/>
          <w:szCs w:val="24"/>
        </w:rPr>
        <w:t xml:space="preserve"> Birkenste</w:t>
      </w:r>
      <w:r w:rsidR="00C65852">
        <w:rPr>
          <w:rFonts w:ascii="Times New Roman" w:hAnsi="Times New Roman" w:cs="Times New Roman"/>
          <w:sz w:val="24"/>
          <w:szCs w:val="24"/>
        </w:rPr>
        <w:t>i</w:t>
      </w:r>
      <w:r w:rsidR="00C65852" w:rsidRPr="00C65852">
        <w:rPr>
          <w:rFonts w:ascii="Times New Roman" w:hAnsi="Times New Roman" w:cs="Times New Roman"/>
          <w:sz w:val="24"/>
          <w:szCs w:val="24"/>
        </w:rPr>
        <w:t>n</w:t>
      </w:r>
      <w:r w:rsidR="00C65852">
        <w:rPr>
          <w:rFonts w:ascii="Times New Roman" w:hAnsi="Times New Roman" w:cs="Times New Roman"/>
          <w:sz w:val="24"/>
          <w:szCs w:val="24"/>
        </w:rPr>
        <w:t>, 2008).</w:t>
      </w:r>
      <w:r w:rsidR="006E44B8">
        <w:rPr>
          <w:rFonts w:ascii="Times New Roman" w:hAnsi="Times New Roman" w:cs="Times New Roman"/>
          <w:sz w:val="24"/>
          <w:szCs w:val="24"/>
        </w:rPr>
        <w:t xml:space="preserve">. </w:t>
      </w:r>
    </w:p>
    <w:p w:rsidR="006E44B8" w:rsidRDefault="006E44B8" w:rsidP="003D36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definition, hidden intellectual </w:t>
      </w:r>
      <w:r w:rsidR="00477C75">
        <w:rPr>
          <w:rFonts w:ascii="Times New Roman" w:hAnsi="Times New Roman" w:cs="Times New Roman"/>
          <w:sz w:val="24"/>
          <w:szCs w:val="24"/>
        </w:rPr>
        <w:t xml:space="preserve">refers to people who seem bereft of any traits that display intelligence where they show it in unexpected and unplanned subtle ways. </w:t>
      </w:r>
      <w:r w:rsidR="008F2B1B">
        <w:rPr>
          <w:rFonts w:ascii="Times New Roman" w:hAnsi="Times New Roman" w:cs="Times New Roman"/>
          <w:sz w:val="24"/>
          <w:szCs w:val="24"/>
        </w:rPr>
        <w:t>Graff supports this by indicating that helping children find their intellectualism within themselves is work in progress.</w:t>
      </w:r>
    </w:p>
    <w:p w:rsidR="003D3666" w:rsidRDefault="003D3666">
      <w:pPr>
        <w:rPr>
          <w:rFonts w:ascii="Times New Roman" w:hAnsi="Times New Roman" w:cs="Times New Roman"/>
          <w:sz w:val="24"/>
          <w:szCs w:val="24"/>
        </w:rPr>
      </w:pPr>
      <w:r>
        <w:rPr>
          <w:rFonts w:ascii="Times New Roman" w:hAnsi="Times New Roman" w:cs="Times New Roman"/>
          <w:sz w:val="24"/>
          <w:szCs w:val="24"/>
        </w:rPr>
        <w:br w:type="page"/>
      </w:r>
    </w:p>
    <w:p w:rsidR="00C65852" w:rsidRDefault="00C65852" w:rsidP="003D366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C65852" w:rsidRPr="00C65852" w:rsidRDefault="00C65852" w:rsidP="003D3666">
      <w:pPr>
        <w:spacing w:after="0" w:line="480" w:lineRule="auto"/>
        <w:ind w:left="720" w:hanging="720"/>
        <w:contextualSpacing/>
        <w:rPr>
          <w:rFonts w:ascii="Times New Roman" w:hAnsi="Times New Roman" w:cs="Times New Roman"/>
          <w:sz w:val="24"/>
          <w:szCs w:val="24"/>
        </w:rPr>
      </w:pPr>
      <w:r w:rsidRPr="00C65852">
        <w:rPr>
          <w:rFonts w:ascii="Times New Roman" w:hAnsi="Times New Roman" w:cs="Times New Roman"/>
          <w:sz w:val="24"/>
          <w:szCs w:val="24"/>
        </w:rPr>
        <w:t>Gerald G. &amp; Birkenste</w:t>
      </w:r>
      <w:r>
        <w:rPr>
          <w:rFonts w:ascii="Times New Roman" w:hAnsi="Times New Roman" w:cs="Times New Roman"/>
          <w:sz w:val="24"/>
          <w:szCs w:val="24"/>
        </w:rPr>
        <w:t>i</w:t>
      </w:r>
      <w:r w:rsidRPr="00C65852">
        <w:rPr>
          <w:rFonts w:ascii="Times New Roman" w:hAnsi="Times New Roman" w:cs="Times New Roman"/>
          <w:sz w:val="24"/>
          <w:szCs w:val="24"/>
        </w:rPr>
        <w:t xml:space="preserve">n C. (2008). They Say/ I Say: The Moves that Matter in Academic Writing. </w:t>
      </w:r>
      <w:hyperlink r:id="rId8" w:history="1">
        <w:r w:rsidRPr="00C65852">
          <w:rPr>
            <w:rStyle w:val="Hyperlink"/>
            <w:rFonts w:ascii="Times New Roman" w:hAnsi="Times New Roman" w:cs="Times New Roman"/>
            <w:color w:val="auto"/>
            <w:sz w:val="24"/>
            <w:szCs w:val="24"/>
          </w:rPr>
          <w:t>http://compositionforum.com/issue/18/they-say-i-say-review.php</w:t>
        </w:r>
      </w:hyperlink>
      <w:r w:rsidRPr="00C65852">
        <w:rPr>
          <w:rFonts w:ascii="Times New Roman" w:hAnsi="Times New Roman" w:cs="Times New Roman"/>
          <w:sz w:val="24"/>
          <w:szCs w:val="24"/>
        </w:rPr>
        <w:t xml:space="preserve"> </w:t>
      </w:r>
    </w:p>
    <w:p w:rsidR="00C65852" w:rsidRPr="003F7A36" w:rsidRDefault="00C65852" w:rsidP="003D3666">
      <w:pPr>
        <w:spacing w:after="0" w:line="480" w:lineRule="auto"/>
        <w:contextualSpacing/>
        <w:rPr>
          <w:rFonts w:ascii="Times New Roman" w:hAnsi="Times New Roman" w:cs="Times New Roman"/>
          <w:sz w:val="24"/>
          <w:szCs w:val="24"/>
        </w:rPr>
      </w:pPr>
    </w:p>
    <w:sectPr w:rsidR="00C65852" w:rsidRPr="003F7A36" w:rsidSect="004501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A91" w:rsidRDefault="009A7A91" w:rsidP="00C65852">
      <w:pPr>
        <w:spacing w:after="0" w:line="240" w:lineRule="auto"/>
      </w:pPr>
      <w:r>
        <w:separator/>
      </w:r>
    </w:p>
  </w:endnote>
  <w:endnote w:type="continuationSeparator" w:id="0">
    <w:p w:rsidR="009A7A91" w:rsidRDefault="009A7A91" w:rsidP="00C65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A91" w:rsidRDefault="009A7A91" w:rsidP="00C65852">
      <w:pPr>
        <w:spacing w:after="0" w:line="240" w:lineRule="auto"/>
      </w:pPr>
      <w:r>
        <w:separator/>
      </w:r>
    </w:p>
  </w:footnote>
  <w:footnote w:type="continuationSeparator" w:id="0">
    <w:p w:rsidR="009A7A91" w:rsidRDefault="009A7A91" w:rsidP="00C65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4190674"/>
      <w:docPartObj>
        <w:docPartGallery w:val="Page Numbers (Top of Page)"/>
        <w:docPartUnique/>
      </w:docPartObj>
    </w:sdtPr>
    <w:sdtEndPr>
      <w:rPr>
        <w:noProof/>
      </w:rPr>
    </w:sdtEndPr>
    <w:sdtContent>
      <w:p w:rsidR="0045019C" w:rsidRPr="0045019C" w:rsidRDefault="0045019C" w:rsidP="0045019C">
        <w:pPr>
          <w:pStyle w:val="Header"/>
          <w:jc w:val="right"/>
          <w:rPr>
            <w:rFonts w:ascii="Times New Roman" w:hAnsi="Times New Roman" w:cs="Times New Roman"/>
            <w:sz w:val="24"/>
            <w:szCs w:val="24"/>
          </w:rPr>
        </w:pPr>
        <w:r w:rsidRPr="0045019C">
          <w:rPr>
            <w:rFonts w:ascii="Times New Roman" w:hAnsi="Times New Roman" w:cs="Times New Roman"/>
            <w:sz w:val="24"/>
            <w:szCs w:val="24"/>
          </w:rPr>
          <w:t>COACHING PHILOSOPHY</w:t>
        </w:r>
        <w:r w:rsidRPr="0045019C">
          <w:rPr>
            <w:rFonts w:ascii="Times New Roman" w:hAnsi="Times New Roman" w:cs="Times New Roman"/>
            <w:sz w:val="24"/>
            <w:szCs w:val="24"/>
          </w:rPr>
          <w:tab/>
        </w:r>
        <w:r w:rsidRPr="0045019C">
          <w:rPr>
            <w:rFonts w:ascii="Times New Roman" w:hAnsi="Times New Roman" w:cs="Times New Roman"/>
            <w:sz w:val="24"/>
            <w:szCs w:val="24"/>
          </w:rPr>
          <w:tab/>
        </w:r>
        <w:r w:rsidRPr="0045019C">
          <w:rPr>
            <w:rFonts w:ascii="Times New Roman" w:hAnsi="Times New Roman" w:cs="Times New Roman"/>
            <w:sz w:val="24"/>
            <w:szCs w:val="24"/>
          </w:rPr>
          <w:fldChar w:fldCharType="begin"/>
        </w:r>
        <w:r w:rsidRPr="0045019C">
          <w:rPr>
            <w:rFonts w:ascii="Times New Roman" w:hAnsi="Times New Roman" w:cs="Times New Roman"/>
            <w:sz w:val="24"/>
            <w:szCs w:val="24"/>
          </w:rPr>
          <w:instrText xml:space="preserve"> PAGE   \* MERGEFORMAT </w:instrText>
        </w:r>
        <w:r w:rsidRPr="0045019C">
          <w:rPr>
            <w:rFonts w:ascii="Times New Roman" w:hAnsi="Times New Roman" w:cs="Times New Roman"/>
            <w:sz w:val="24"/>
            <w:szCs w:val="24"/>
          </w:rPr>
          <w:fldChar w:fldCharType="separate"/>
        </w:r>
        <w:r w:rsidR="003D3666">
          <w:rPr>
            <w:rFonts w:ascii="Times New Roman" w:hAnsi="Times New Roman" w:cs="Times New Roman"/>
            <w:noProof/>
            <w:sz w:val="24"/>
            <w:szCs w:val="24"/>
          </w:rPr>
          <w:t>2</w:t>
        </w:r>
        <w:r w:rsidRPr="0045019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19C" w:rsidRPr="0045019C" w:rsidRDefault="0045019C" w:rsidP="0045019C">
    <w:pPr>
      <w:pStyle w:val="Header"/>
      <w:jc w:val="right"/>
      <w:rPr>
        <w:rFonts w:ascii="Times New Roman" w:hAnsi="Times New Roman" w:cs="Times New Roman"/>
        <w:sz w:val="24"/>
        <w:szCs w:val="24"/>
      </w:rPr>
    </w:pPr>
    <w:r w:rsidRPr="0045019C">
      <w:rPr>
        <w:rFonts w:ascii="Times New Roman" w:hAnsi="Times New Roman" w:cs="Times New Roman"/>
        <w:sz w:val="24"/>
        <w:szCs w:val="24"/>
      </w:rPr>
      <w:t>Running head: COACHING PHILOSOPHY</w:t>
    </w:r>
    <w:r w:rsidRPr="0045019C">
      <w:rPr>
        <w:rFonts w:ascii="Times New Roman" w:hAnsi="Times New Roman" w:cs="Times New Roman"/>
        <w:sz w:val="24"/>
        <w:szCs w:val="24"/>
      </w:rPr>
      <w:tab/>
    </w:r>
    <w:r w:rsidRPr="0045019C">
      <w:rPr>
        <w:rFonts w:ascii="Times New Roman" w:hAnsi="Times New Roman" w:cs="Times New Roman"/>
        <w:sz w:val="24"/>
        <w:szCs w:val="24"/>
      </w:rPr>
      <w:tab/>
    </w:r>
    <w:sdt>
      <w:sdtPr>
        <w:rPr>
          <w:rFonts w:ascii="Times New Roman" w:hAnsi="Times New Roman" w:cs="Times New Roman"/>
          <w:sz w:val="24"/>
          <w:szCs w:val="24"/>
        </w:rPr>
        <w:id w:val="-1132409448"/>
        <w:docPartObj>
          <w:docPartGallery w:val="Page Numbers (Top of Page)"/>
          <w:docPartUnique/>
        </w:docPartObj>
      </w:sdtPr>
      <w:sdtEndPr>
        <w:rPr>
          <w:noProof/>
        </w:rPr>
      </w:sdtEndPr>
      <w:sdtContent>
        <w:r w:rsidRPr="0045019C">
          <w:rPr>
            <w:rFonts w:ascii="Times New Roman" w:hAnsi="Times New Roman" w:cs="Times New Roman"/>
            <w:sz w:val="24"/>
            <w:szCs w:val="24"/>
          </w:rPr>
          <w:fldChar w:fldCharType="begin"/>
        </w:r>
        <w:r w:rsidRPr="0045019C">
          <w:rPr>
            <w:rFonts w:ascii="Times New Roman" w:hAnsi="Times New Roman" w:cs="Times New Roman"/>
            <w:sz w:val="24"/>
            <w:szCs w:val="24"/>
          </w:rPr>
          <w:instrText xml:space="preserve"> PAGE   \* MERGEFORMAT </w:instrText>
        </w:r>
        <w:r w:rsidRPr="0045019C">
          <w:rPr>
            <w:rFonts w:ascii="Times New Roman" w:hAnsi="Times New Roman" w:cs="Times New Roman"/>
            <w:sz w:val="24"/>
            <w:szCs w:val="24"/>
          </w:rPr>
          <w:fldChar w:fldCharType="separate"/>
        </w:r>
        <w:r w:rsidR="009A7A91">
          <w:rPr>
            <w:rFonts w:ascii="Times New Roman" w:hAnsi="Times New Roman" w:cs="Times New Roman"/>
            <w:noProof/>
            <w:sz w:val="24"/>
            <w:szCs w:val="24"/>
          </w:rPr>
          <w:t>1</w:t>
        </w:r>
        <w:r w:rsidRPr="0045019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A36"/>
    <w:rsid w:val="00116A9C"/>
    <w:rsid w:val="00215AEB"/>
    <w:rsid w:val="003D3666"/>
    <w:rsid w:val="003F7A36"/>
    <w:rsid w:val="0045019C"/>
    <w:rsid w:val="00477C75"/>
    <w:rsid w:val="00531A69"/>
    <w:rsid w:val="0066691B"/>
    <w:rsid w:val="006E44B8"/>
    <w:rsid w:val="008262FB"/>
    <w:rsid w:val="008412FB"/>
    <w:rsid w:val="008F2B1B"/>
    <w:rsid w:val="009A7A91"/>
    <w:rsid w:val="00C65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852"/>
    <w:rPr>
      <w:color w:val="0000FF"/>
      <w:u w:val="single"/>
    </w:rPr>
  </w:style>
  <w:style w:type="paragraph" w:styleId="Header">
    <w:name w:val="header"/>
    <w:basedOn w:val="Normal"/>
    <w:link w:val="HeaderChar"/>
    <w:uiPriority w:val="99"/>
    <w:unhideWhenUsed/>
    <w:rsid w:val="00C65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52"/>
  </w:style>
  <w:style w:type="paragraph" w:styleId="Footer">
    <w:name w:val="footer"/>
    <w:basedOn w:val="Normal"/>
    <w:link w:val="FooterChar"/>
    <w:uiPriority w:val="99"/>
    <w:unhideWhenUsed/>
    <w:rsid w:val="00C65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852"/>
    <w:rPr>
      <w:color w:val="0000FF"/>
      <w:u w:val="single"/>
    </w:rPr>
  </w:style>
  <w:style w:type="paragraph" w:styleId="Header">
    <w:name w:val="header"/>
    <w:basedOn w:val="Normal"/>
    <w:link w:val="HeaderChar"/>
    <w:uiPriority w:val="99"/>
    <w:unhideWhenUsed/>
    <w:rsid w:val="00C65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52"/>
  </w:style>
  <w:style w:type="paragraph" w:styleId="Footer">
    <w:name w:val="footer"/>
    <w:basedOn w:val="Normal"/>
    <w:link w:val="FooterChar"/>
    <w:uiPriority w:val="99"/>
    <w:unhideWhenUsed/>
    <w:rsid w:val="00C65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positionforum.com/issue/18/they-say-i-say-review.ph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06668-D012-48D5-ACC6-AD9910B9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2019-09-14T10:21:00Z</dcterms:created>
  <dcterms:modified xsi:type="dcterms:W3CDTF">2019-09-14T10:21:00Z</dcterms:modified>
</cp:coreProperties>
</file>