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255B077" w14:textId="77777777" w:rsidR="00EB6B2E" w:rsidRDefault="00EB6B2E" w:rsidP="00EB6B2E">
      <w:pPr>
        <w:spacing w:line="480" w:lineRule="auto"/>
        <w:contextualSpacing/>
        <w:jc w:val="center"/>
        <w:rPr>
          <w:b/>
          <w:bCs/>
          <w:sz w:val="24"/>
          <w:szCs w:val="24"/>
        </w:rPr>
      </w:pPr>
    </w:p>
    <w:p w14:paraId="3BED6122" w14:textId="77777777" w:rsidR="00EB6B2E" w:rsidRDefault="00EB6B2E" w:rsidP="00EB6B2E">
      <w:pPr>
        <w:spacing w:line="480" w:lineRule="auto"/>
        <w:contextualSpacing/>
        <w:jc w:val="center"/>
        <w:rPr>
          <w:b/>
          <w:bCs/>
          <w:sz w:val="24"/>
          <w:szCs w:val="24"/>
        </w:rPr>
      </w:pPr>
    </w:p>
    <w:p w14:paraId="472A207B" w14:textId="77777777" w:rsidR="00EB6B2E" w:rsidRDefault="00EB6B2E" w:rsidP="00EB6B2E">
      <w:pPr>
        <w:spacing w:line="480" w:lineRule="auto"/>
        <w:contextualSpacing/>
        <w:jc w:val="center"/>
        <w:rPr>
          <w:b/>
          <w:bCs/>
          <w:sz w:val="24"/>
          <w:szCs w:val="24"/>
        </w:rPr>
      </w:pPr>
    </w:p>
    <w:p w14:paraId="75B5B945" w14:textId="77777777" w:rsidR="00EB6B2E" w:rsidRDefault="00EB6B2E" w:rsidP="00EB6B2E">
      <w:pPr>
        <w:spacing w:line="480" w:lineRule="auto"/>
        <w:contextualSpacing/>
        <w:jc w:val="center"/>
        <w:rPr>
          <w:b/>
          <w:bCs/>
          <w:sz w:val="24"/>
          <w:szCs w:val="24"/>
        </w:rPr>
      </w:pPr>
    </w:p>
    <w:p w14:paraId="02BF8746" w14:textId="77777777" w:rsidR="00EB6B2E" w:rsidRDefault="00EB6B2E" w:rsidP="00EB6B2E">
      <w:pPr>
        <w:spacing w:line="480" w:lineRule="auto"/>
        <w:contextualSpacing/>
        <w:jc w:val="center"/>
        <w:rPr>
          <w:b/>
          <w:bCs/>
          <w:sz w:val="24"/>
          <w:szCs w:val="24"/>
        </w:rPr>
      </w:pPr>
    </w:p>
    <w:p w14:paraId="29E23AD0" w14:textId="77777777" w:rsidR="00EB6B2E" w:rsidRDefault="00EB6B2E" w:rsidP="00EB6B2E">
      <w:pPr>
        <w:spacing w:line="480" w:lineRule="auto"/>
        <w:contextualSpacing/>
        <w:jc w:val="center"/>
        <w:rPr>
          <w:b/>
          <w:bCs/>
          <w:sz w:val="24"/>
          <w:szCs w:val="24"/>
        </w:rPr>
      </w:pPr>
    </w:p>
    <w:p w14:paraId="2ECDD130" w14:textId="77777777" w:rsidR="00EB6B2E" w:rsidRDefault="00EB6B2E" w:rsidP="00EB6B2E">
      <w:pPr>
        <w:spacing w:line="480" w:lineRule="auto"/>
        <w:contextualSpacing/>
        <w:jc w:val="center"/>
        <w:rPr>
          <w:b/>
          <w:bCs/>
          <w:sz w:val="24"/>
          <w:szCs w:val="24"/>
        </w:rPr>
      </w:pPr>
    </w:p>
    <w:p w14:paraId="0B3580FF" w14:textId="77777777" w:rsidR="00EB6B2E" w:rsidRDefault="00EB6B2E" w:rsidP="00EB6B2E">
      <w:pPr>
        <w:spacing w:line="480" w:lineRule="auto"/>
        <w:contextualSpacing/>
        <w:jc w:val="center"/>
        <w:rPr>
          <w:b/>
          <w:bCs/>
          <w:sz w:val="24"/>
          <w:szCs w:val="24"/>
        </w:rPr>
      </w:pPr>
    </w:p>
    <w:p w14:paraId="59013E5E" w14:textId="77777777" w:rsidR="00EB6B2E" w:rsidRDefault="00EB6B2E" w:rsidP="00EB6B2E">
      <w:pPr>
        <w:spacing w:line="480" w:lineRule="auto"/>
        <w:contextualSpacing/>
        <w:jc w:val="center"/>
        <w:rPr>
          <w:b/>
          <w:bCs/>
          <w:sz w:val="24"/>
          <w:szCs w:val="24"/>
        </w:rPr>
      </w:pPr>
    </w:p>
    <w:p w14:paraId="30BE6DA1" w14:textId="1EA27222" w:rsidR="00EB6B2E" w:rsidRPr="00EB6B2E" w:rsidRDefault="00EB6B2E" w:rsidP="00EB6B2E">
      <w:pPr>
        <w:spacing w:line="480" w:lineRule="auto"/>
        <w:contextualSpacing/>
        <w:jc w:val="center"/>
        <w:rPr>
          <w:b/>
          <w:bCs/>
          <w:sz w:val="24"/>
          <w:szCs w:val="24"/>
        </w:rPr>
      </w:pPr>
      <w:r w:rsidRPr="00EB6B2E">
        <w:rPr>
          <w:b/>
          <w:bCs/>
          <w:sz w:val="24"/>
          <w:szCs w:val="24"/>
        </w:rPr>
        <w:t xml:space="preserve">Coca-Cola </w:t>
      </w:r>
    </w:p>
    <w:p w14:paraId="1FB8507C" w14:textId="77777777" w:rsidR="00EB6B2E" w:rsidRDefault="00EB6B2E" w:rsidP="00EB6B2E">
      <w:pPr>
        <w:spacing w:line="480" w:lineRule="auto"/>
        <w:contextualSpacing/>
        <w:jc w:val="center"/>
        <w:rPr>
          <w:spacing w:val="3"/>
          <w:sz w:val="24"/>
          <w:szCs w:val="24"/>
          <w:shd w:val="clear" w:color="auto" w:fill="FFFFFF"/>
        </w:rPr>
      </w:pPr>
    </w:p>
    <w:p w14:paraId="12CF8345" w14:textId="32B9DF4D" w:rsidR="00EB6B2E" w:rsidRPr="00AE2143" w:rsidRDefault="00EB6B2E" w:rsidP="00EB6B2E">
      <w:pPr>
        <w:spacing w:line="480" w:lineRule="auto"/>
        <w:contextualSpacing/>
        <w:jc w:val="center"/>
        <w:rPr>
          <w:spacing w:val="3"/>
          <w:sz w:val="24"/>
          <w:szCs w:val="24"/>
          <w:shd w:val="clear" w:color="auto" w:fill="FFFFFF"/>
        </w:rPr>
      </w:pPr>
      <w:r w:rsidRPr="00AE2143">
        <w:rPr>
          <w:spacing w:val="3"/>
          <w:sz w:val="24"/>
          <w:szCs w:val="24"/>
          <w:shd w:val="clear" w:color="auto" w:fill="FFFFFF"/>
        </w:rPr>
        <w:t>Student’s Name</w:t>
      </w:r>
    </w:p>
    <w:p w14:paraId="3DEBAA3C" w14:textId="77777777" w:rsidR="00EB6B2E" w:rsidRPr="00AE2143" w:rsidRDefault="00EB6B2E" w:rsidP="00EB6B2E">
      <w:pPr>
        <w:spacing w:line="480" w:lineRule="auto"/>
        <w:contextualSpacing/>
        <w:jc w:val="center"/>
        <w:rPr>
          <w:spacing w:val="3"/>
          <w:sz w:val="24"/>
          <w:szCs w:val="24"/>
          <w:shd w:val="clear" w:color="auto" w:fill="FFFFFF"/>
        </w:rPr>
      </w:pPr>
      <w:r w:rsidRPr="00AE2143">
        <w:rPr>
          <w:spacing w:val="3"/>
          <w:sz w:val="24"/>
          <w:szCs w:val="24"/>
          <w:shd w:val="clear" w:color="auto" w:fill="FFFFFF"/>
        </w:rPr>
        <w:t>Course Department, Institution</w:t>
      </w:r>
    </w:p>
    <w:p w14:paraId="14EE942B" w14:textId="77777777" w:rsidR="00EB6B2E" w:rsidRPr="00AE2143" w:rsidRDefault="00EB6B2E" w:rsidP="00EB6B2E">
      <w:pPr>
        <w:spacing w:line="480" w:lineRule="auto"/>
        <w:contextualSpacing/>
        <w:jc w:val="center"/>
        <w:rPr>
          <w:spacing w:val="3"/>
          <w:sz w:val="24"/>
          <w:szCs w:val="24"/>
          <w:shd w:val="clear" w:color="auto" w:fill="FFFFFF"/>
        </w:rPr>
      </w:pPr>
      <w:r w:rsidRPr="00AE2143">
        <w:rPr>
          <w:spacing w:val="3"/>
          <w:sz w:val="24"/>
          <w:szCs w:val="24"/>
          <w:shd w:val="clear" w:color="auto" w:fill="FFFFFF"/>
        </w:rPr>
        <w:t>Course Code, Course Name</w:t>
      </w:r>
    </w:p>
    <w:p w14:paraId="1FB6FD54" w14:textId="77777777" w:rsidR="00EB6B2E" w:rsidRPr="00AE2143" w:rsidRDefault="00EB6B2E" w:rsidP="00EB6B2E">
      <w:pPr>
        <w:spacing w:line="480" w:lineRule="auto"/>
        <w:contextualSpacing/>
        <w:jc w:val="center"/>
        <w:rPr>
          <w:spacing w:val="3"/>
          <w:sz w:val="24"/>
          <w:szCs w:val="24"/>
          <w:shd w:val="clear" w:color="auto" w:fill="FFFFFF"/>
        </w:rPr>
      </w:pPr>
      <w:r w:rsidRPr="00AE2143">
        <w:rPr>
          <w:spacing w:val="3"/>
          <w:sz w:val="24"/>
          <w:szCs w:val="24"/>
          <w:shd w:val="clear" w:color="auto" w:fill="FFFFFF"/>
        </w:rPr>
        <w:t>Instructor’s Name</w:t>
      </w:r>
    </w:p>
    <w:p w14:paraId="4A2152D6" w14:textId="04AD814D" w:rsidR="00EB6B2E" w:rsidRDefault="00EB6B2E" w:rsidP="00EB6B2E">
      <w:pPr>
        <w:spacing w:line="480" w:lineRule="auto"/>
        <w:contextualSpacing/>
        <w:jc w:val="center"/>
        <w:rPr>
          <w:spacing w:val="3"/>
          <w:sz w:val="24"/>
          <w:szCs w:val="24"/>
          <w:shd w:val="clear" w:color="auto" w:fill="FFFFFF"/>
        </w:rPr>
      </w:pPr>
      <w:r w:rsidRPr="00AE2143">
        <w:rPr>
          <w:spacing w:val="3"/>
          <w:sz w:val="24"/>
          <w:szCs w:val="24"/>
          <w:shd w:val="clear" w:color="auto" w:fill="FFFFFF"/>
        </w:rPr>
        <w:t>Date</w:t>
      </w:r>
    </w:p>
    <w:p w14:paraId="0F462C0F" w14:textId="12150110" w:rsidR="00EB6B2E" w:rsidRDefault="00EB6B2E" w:rsidP="00EB6B2E">
      <w:pPr>
        <w:contextualSpacing/>
        <w:jc w:val="center"/>
        <w:rPr>
          <w:spacing w:val="3"/>
          <w:sz w:val="24"/>
          <w:szCs w:val="24"/>
          <w:shd w:val="clear" w:color="auto" w:fill="FFFFFF"/>
        </w:rPr>
      </w:pPr>
    </w:p>
    <w:p w14:paraId="48BD92C5" w14:textId="77777777" w:rsidR="00EB6B2E" w:rsidRDefault="00EB6B2E">
      <w:pPr>
        <w:rPr>
          <w:sz w:val="24"/>
          <w:szCs w:val="24"/>
        </w:rPr>
      </w:pPr>
      <w:r>
        <w:rPr>
          <w:sz w:val="24"/>
          <w:szCs w:val="24"/>
        </w:rPr>
        <w:br w:type="page"/>
      </w:r>
    </w:p>
    <w:p w14:paraId="743BA268" w14:textId="2ED252B0" w:rsidR="00EB6B2E" w:rsidRPr="00EB6B2E" w:rsidRDefault="00EB6B2E" w:rsidP="00EB6B2E">
      <w:pPr>
        <w:contextualSpacing/>
        <w:jc w:val="center"/>
        <w:rPr>
          <w:b/>
          <w:bCs/>
          <w:sz w:val="24"/>
          <w:szCs w:val="24"/>
        </w:rPr>
      </w:pPr>
      <w:r w:rsidRPr="00EB6B2E">
        <w:rPr>
          <w:b/>
          <w:bCs/>
          <w:sz w:val="24"/>
          <w:szCs w:val="24"/>
        </w:rPr>
        <w:t>Coca-Cola</w:t>
      </w:r>
    </w:p>
    <w:p w14:paraId="7384D644" w14:textId="4A026A66" w:rsidR="0036067A" w:rsidRPr="00EB6B2E" w:rsidRDefault="000F5A07" w:rsidP="00EB6B2E">
      <w:pPr>
        <w:spacing w:line="480" w:lineRule="auto"/>
        <w:ind w:firstLine="720"/>
        <w:jc w:val="both"/>
        <w:rPr>
          <w:sz w:val="24"/>
          <w:szCs w:val="24"/>
        </w:rPr>
      </w:pPr>
      <w:r w:rsidRPr="00EB6B2E">
        <w:rPr>
          <w:sz w:val="24"/>
          <w:szCs w:val="24"/>
        </w:rPr>
        <w:t xml:space="preserve">Coca-Cola is the brand which I choose. A red-letter logo defines Coca-brand Cola's identity. The red hue inspires confidence in those who consume Coca-Cola, while the script typeface screams delight. Coca-Cola imprints its brand on a bottle with an unusual form. This demonstrates to clients that they are not receiving a replica – they are receiving the genuine article. In this manner, the brand establishes reputation and trust. </w:t>
      </w:r>
      <w:r w:rsidR="00A941AE" w:rsidRPr="00EB6B2E">
        <w:rPr>
          <w:sz w:val="24"/>
          <w:szCs w:val="24"/>
        </w:rPr>
        <w:t>While the Coca-Cola logo is essential to the brand's identification, it extends beyond the logo's design, typeface, and colors. The shape of the bottle, without any letter on it, was quickly recognized as the logo on a global scale. Asa Griggs Candler began stamping the Coke logo on datebooks, artworks, notebooks, and bookmarks in the 1880s</w:t>
      </w:r>
      <w:r w:rsidR="00EB6B2E">
        <w:rPr>
          <w:sz w:val="24"/>
          <w:szCs w:val="24"/>
        </w:rPr>
        <w:t xml:space="preserve"> (</w:t>
      </w:r>
      <w:proofErr w:type="spellStart"/>
      <w:r w:rsidR="00EB6B2E" w:rsidRPr="00EB6B2E">
        <w:rPr>
          <w:color w:val="222222"/>
          <w:sz w:val="24"/>
          <w:szCs w:val="24"/>
          <w:shd w:val="clear" w:color="auto" w:fill="FFFFFF"/>
        </w:rPr>
        <w:t>Boyjoo</w:t>
      </w:r>
      <w:proofErr w:type="spellEnd"/>
      <w:r w:rsidR="00EB6B2E" w:rsidRPr="00EB6B2E">
        <w:rPr>
          <w:color w:val="222222"/>
          <w:sz w:val="24"/>
          <w:szCs w:val="24"/>
          <w:shd w:val="clear" w:color="auto" w:fill="FFFFFF"/>
        </w:rPr>
        <w:t xml:space="preserve">, </w:t>
      </w:r>
      <w:r w:rsidR="00EB6B2E">
        <w:rPr>
          <w:color w:val="222222"/>
          <w:sz w:val="24"/>
          <w:szCs w:val="24"/>
          <w:shd w:val="clear" w:color="auto" w:fill="FFFFFF"/>
        </w:rPr>
        <w:t xml:space="preserve">et al., </w:t>
      </w:r>
      <w:r w:rsidR="00EB6B2E" w:rsidRPr="00EB6B2E">
        <w:rPr>
          <w:color w:val="222222"/>
          <w:sz w:val="24"/>
          <w:szCs w:val="24"/>
          <w:shd w:val="clear" w:color="auto" w:fill="FFFFFF"/>
        </w:rPr>
        <w:t>2017).</w:t>
      </w:r>
      <w:r w:rsidR="00A941AE" w:rsidRPr="00EB6B2E">
        <w:rPr>
          <w:sz w:val="24"/>
          <w:szCs w:val="24"/>
        </w:rPr>
        <w:t xml:space="preserve"> This is how the company's first national brand identity design process began.</w:t>
      </w:r>
      <w:r w:rsidRPr="00EB6B2E">
        <w:rPr>
          <w:sz w:val="24"/>
          <w:szCs w:val="24"/>
        </w:rPr>
        <w:t xml:space="preserve"> Coca-Cola introduced New Coke in 1985 and ceased manufacturing of traditional Coke at the same time. Due to the failure of this move, the firm quickly decided to resume sales of the traditional beverage. When cherry and diet coke were introduced in the 1980s, the firm battled with brand awareness</w:t>
      </w:r>
      <w:r w:rsidR="00EB6B2E">
        <w:rPr>
          <w:sz w:val="24"/>
          <w:szCs w:val="24"/>
        </w:rPr>
        <w:t xml:space="preserve"> (</w:t>
      </w:r>
      <w:proofErr w:type="spellStart"/>
      <w:r w:rsidR="00EB6B2E" w:rsidRPr="00EB6B2E">
        <w:rPr>
          <w:color w:val="222222"/>
          <w:sz w:val="24"/>
          <w:szCs w:val="24"/>
          <w:shd w:val="clear" w:color="auto" w:fill="FFFFFF"/>
        </w:rPr>
        <w:t>Boyjoo</w:t>
      </w:r>
      <w:proofErr w:type="spellEnd"/>
      <w:r w:rsidR="00EB6B2E" w:rsidRPr="00EB6B2E">
        <w:rPr>
          <w:color w:val="222222"/>
          <w:sz w:val="24"/>
          <w:szCs w:val="24"/>
          <w:shd w:val="clear" w:color="auto" w:fill="FFFFFF"/>
        </w:rPr>
        <w:t xml:space="preserve">, </w:t>
      </w:r>
      <w:r w:rsidR="00EB6B2E">
        <w:rPr>
          <w:color w:val="222222"/>
          <w:sz w:val="24"/>
          <w:szCs w:val="24"/>
          <w:shd w:val="clear" w:color="auto" w:fill="FFFFFF"/>
        </w:rPr>
        <w:t xml:space="preserve">et al., </w:t>
      </w:r>
      <w:r w:rsidR="00EB6B2E" w:rsidRPr="00EB6B2E">
        <w:rPr>
          <w:color w:val="222222"/>
          <w:sz w:val="24"/>
          <w:szCs w:val="24"/>
          <w:shd w:val="clear" w:color="auto" w:fill="FFFFFF"/>
        </w:rPr>
        <w:t>2017).</w:t>
      </w:r>
    </w:p>
    <w:p w14:paraId="4F1DB908" w14:textId="7DF5BD1D" w:rsidR="0036067A" w:rsidRPr="00EB6B2E" w:rsidRDefault="000F5A07" w:rsidP="00EB6B2E">
      <w:pPr>
        <w:spacing w:line="480" w:lineRule="auto"/>
        <w:ind w:firstLine="720"/>
        <w:jc w:val="both"/>
        <w:rPr>
          <w:sz w:val="24"/>
          <w:szCs w:val="24"/>
        </w:rPr>
      </w:pPr>
      <w:r w:rsidRPr="00EB6B2E">
        <w:rPr>
          <w:sz w:val="24"/>
          <w:szCs w:val="24"/>
        </w:rPr>
        <w:t xml:space="preserve">Coca-Cola is the world's best-selling carbonated, sweetened soft drink. Pepsi is Coca-primary Cola's competitor due to the comparable flavor of their primary product. According to the business, the beverage is distributed in over 200 countries. Similarly, Coca-drawn Cola's Santa Claus is an excellent example of a visual brand association promotion. Their cans and bottles were decorated with cartoon </w:t>
      </w:r>
      <w:proofErr w:type="spellStart"/>
      <w:r w:rsidRPr="00EB6B2E">
        <w:rPr>
          <w:sz w:val="24"/>
          <w:szCs w:val="24"/>
        </w:rPr>
        <w:t>Santas</w:t>
      </w:r>
      <w:proofErr w:type="spellEnd"/>
      <w:r w:rsidRPr="00EB6B2E">
        <w:rPr>
          <w:sz w:val="24"/>
          <w:szCs w:val="24"/>
        </w:rPr>
        <w:t xml:space="preserve"> and other festive, seasonal features such as falling snow. Acquiring this linkage required Coke to persuade people to associate all of their pleasant memories about the winter season and holidays with drinking Coca-Cola. It's critical to remember that not all attempts will be successful. Pepsi's attempt to recreate this design strategy with Santa and snow on every packaging and product will almost certainly fail. Pepsi's colors do not go with a red Santa like Coke's colors do. Recognize and accept your limitations since they will have a significant impact on your total performance.</w:t>
      </w:r>
    </w:p>
    <w:p w14:paraId="1F248976" w14:textId="4AC555F8" w:rsidR="0036067A" w:rsidRPr="00EB6B2E" w:rsidRDefault="000F5A07" w:rsidP="00EB6B2E">
      <w:pPr>
        <w:spacing w:line="480" w:lineRule="auto"/>
        <w:ind w:firstLine="720"/>
        <w:jc w:val="both"/>
        <w:rPr>
          <w:sz w:val="24"/>
          <w:szCs w:val="24"/>
        </w:rPr>
      </w:pPr>
      <w:r w:rsidRPr="00EB6B2E">
        <w:rPr>
          <w:sz w:val="24"/>
          <w:szCs w:val="24"/>
        </w:rPr>
        <w:t>Within an hour of drinking a can of cola, the body might experience negative consequences. There are 37 grams (g) of added sugar over ten teaspoons (tsp)</w:t>
      </w:r>
      <w:r w:rsidR="00EB6B2E">
        <w:rPr>
          <w:sz w:val="24"/>
          <w:szCs w:val="24"/>
        </w:rPr>
        <w:t xml:space="preserve"> (</w:t>
      </w:r>
      <w:proofErr w:type="spellStart"/>
      <w:r w:rsidR="00EB6B2E" w:rsidRPr="00EB6B2E">
        <w:rPr>
          <w:color w:val="222222"/>
          <w:sz w:val="24"/>
          <w:szCs w:val="24"/>
          <w:shd w:val="clear" w:color="auto" w:fill="FFFFFF"/>
        </w:rPr>
        <w:t>Maani</w:t>
      </w:r>
      <w:proofErr w:type="spellEnd"/>
      <w:r w:rsidR="00EB6B2E" w:rsidRPr="00EB6B2E">
        <w:rPr>
          <w:color w:val="222222"/>
          <w:sz w:val="24"/>
          <w:szCs w:val="24"/>
          <w:shd w:val="clear" w:color="auto" w:fill="FFFFFF"/>
        </w:rPr>
        <w:t xml:space="preserve"> </w:t>
      </w:r>
      <w:r w:rsidR="00EB6B2E">
        <w:rPr>
          <w:color w:val="222222"/>
          <w:sz w:val="24"/>
          <w:szCs w:val="24"/>
          <w:shd w:val="clear" w:color="auto" w:fill="FFFFFF"/>
        </w:rPr>
        <w:t xml:space="preserve">et al., </w:t>
      </w:r>
      <w:r w:rsidR="00EB6B2E" w:rsidRPr="00EB6B2E">
        <w:rPr>
          <w:color w:val="222222"/>
          <w:sz w:val="24"/>
          <w:szCs w:val="24"/>
          <w:shd w:val="clear" w:color="auto" w:fill="FFFFFF"/>
        </w:rPr>
        <w:t>2019)</w:t>
      </w:r>
      <w:r w:rsidRPr="00EB6B2E">
        <w:rPr>
          <w:sz w:val="24"/>
          <w:szCs w:val="24"/>
        </w:rPr>
        <w:t>. The World Health Organization advises no more than six teaspoons per day. According to 2015 research, sugary beverages are responsible for 184,000 fatalities worldwide each year</w:t>
      </w:r>
      <w:r w:rsidR="00EB6B2E">
        <w:rPr>
          <w:sz w:val="24"/>
          <w:szCs w:val="24"/>
        </w:rPr>
        <w:t xml:space="preserve"> (</w:t>
      </w:r>
      <w:proofErr w:type="spellStart"/>
      <w:r w:rsidR="00EB6B2E" w:rsidRPr="00EB6B2E">
        <w:rPr>
          <w:color w:val="222222"/>
          <w:sz w:val="24"/>
          <w:szCs w:val="24"/>
          <w:shd w:val="clear" w:color="auto" w:fill="FFFFFF"/>
        </w:rPr>
        <w:t>Maani</w:t>
      </w:r>
      <w:proofErr w:type="spellEnd"/>
      <w:r w:rsidR="00EB6B2E" w:rsidRPr="00EB6B2E">
        <w:rPr>
          <w:color w:val="222222"/>
          <w:sz w:val="24"/>
          <w:szCs w:val="24"/>
          <w:shd w:val="clear" w:color="auto" w:fill="FFFFFF"/>
        </w:rPr>
        <w:t xml:space="preserve"> </w:t>
      </w:r>
      <w:r w:rsidR="00EB6B2E">
        <w:rPr>
          <w:color w:val="222222"/>
          <w:sz w:val="24"/>
          <w:szCs w:val="24"/>
          <w:shd w:val="clear" w:color="auto" w:fill="FFFFFF"/>
        </w:rPr>
        <w:t xml:space="preserve">et al., </w:t>
      </w:r>
      <w:r w:rsidR="00EB6B2E" w:rsidRPr="00EB6B2E">
        <w:rPr>
          <w:color w:val="222222"/>
          <w:sz w:val="24"/>
          <w:szCs w:val="24"/>
          <w:shd w:val="clear" w:color="auto" w:fill="FFFFFF"/>
        </w:rPr>
        <w:t>2019)</w:t>
      </w:r>
      <w:r w:rsidRPr="00EB6B2E">
        <w:rPr>
          <w:sz w:val="24"/>
          <w:szCs w:val="24"/>
        </w:rPr>
        <w:t>. The high sugar level in Coca-Cola should make a person vomit, yet the phosphoric acid in the beverage masks the sweetness, allowing people to drink the entire glass. After an hour, a sugar drop sets in, resulting in irritation and sleepiness. Within 40 minutes, the caffeine in the cola has been entirely absorbed by the body. Caffeine dilates the pupils and elevates the blood pressure. It stimulates a person's desire to consume another can.</w:t>
      </w:r>
    </w:p>
    <w:p w14:paraId="57BA3DE5" w14:textId="52C2DF52" w:rsidR="0036067A" w:rsidRDefault="00A941AE" w:rsidP="00EB6B2E">
      <w:pPr>
        <w:spacing w:line="480" w:lineRule="auto"/>
        <w:ind w:firstLine="720"/>
        <w:jc w:val="both"/>
        <w:rPr>
          <w:sz w:val="24"/>
          <w:szCs w:val="24"/>
        </w:rPr>
      </w:pPr>
      <w:r w:rsidRPr="00EB6B2E">
        <w:rPr>
          <w:sz w:val="24"/>
          <w:szCs w:val="24"/>
        </w:rPr>
        <w:t xml:space="preserve">Coca-Cola has shifted its business plan to become a full-service beverage company by providing consumers with extra items they desire. In 2017, the firm decreased the sugar content of over 500 of its beverages worldwide, bringing 30% of over 3,900 products. </w:t>
      </w:r>
      <w:r w:rsidR="00EB6B2E" w:rsidRPr="00EB6B2E">
        <w:rPr>
          <w:sz w:val="24"/>
          <w:szCs w:val="24"/>
        </w:rPr>
        <w:t>The Company acknowledges that customers should eat no more than 10 percent of their daily intake of kilojoule/energy in addition to adding sugar, including the World Health Organization (WHO)</w:t>
      </w:r>
      <w:r w:rsidR="00EB6B2E">
        <w:rPr>
          <w:sz w:val="24"/>
          <w:szCs w:val="24"/>
        </w:rPr>
        <w:t xml:space="preserve"> (</w:t>
      </w:r>
      <w:proofErr w:type="spellStart"/>
      <w:r w:rsidR="00EB6B2E" w:rsidRPr="00EB6B2E">
        <w:rPr>
          <w:color w:val="222222"/>
          <w:sz w:val="24"/>
          <w:szCs w:val="24"/>
          <w:shd w:val="clear" w:color="auto" w:fill="FFFFFF"/>
        </w:rPr>
        <w:t>Maani</w:t>
      </w:r>
      <w:proofErr w:type="spellEnd"/>
      <w:r w:rsidR="00EB6B2E" w:rsidRPr="00EB6B2E">
        <w:rPr>
          <w:color w:val="222222"/>
          <w:sz w:val="24"/>
          <w:szCs w:val="24"/>
          <w:shd w:val="clear" w:color="auto" w:fill="FFFFFF"/>
        </w:rPr>
        <w:t xml:space="preserve"> </w:t>
      </w:r>
      <w:r w:rsidR="00EB6B2E">
        <w:rPr>
          <w:color w:val="222222"/>
          <w:sz w:val="24"/>
          <w:szCs w:val="24"/>
          <w:shd w:val="clear" w:color="auto" w:fill="FFFFFF"/>
        </w:rPr>
        <w:t xml:space="preserve">et al., </w:t>
      </w:r>
      <w:r w:rsidR="00EB6B2E" w:rsidRPr="00EB6B2E">
        <w:rPr>
          <w:color w:val="222222"/>
          <w:sz w:val="24"/>
          <w:szCs w:val="24"/>
          <w:shd w:val="clear" w:color="auto" w:fill="FFFFFF"/>
        </w:rPr>
        <w:t xml:space="preserve">2019). </w:t>
      </w:r>
      <w:r w:rsidR="00EB6B2E" w:rsidRPr="00EB6B2E">
        <w:rPr>
          <w:sz w:val="24"/>
          <w:szCs w:val="24"/>
        </w:rPr>
        <w:t>Coca-Cola South Pacific has grown its small cans and other miniature packages by 88 percent between 2013 and 2015. The Company retains its longstanding policy of not advertising children under the age of 12 in all nations. In September 2009, Coca-Cola was the first beverage producer to approve the front-of-package marking of kilojoule on nearly every packaging.</w:t>
      </w:r>
    </w:p>
    <w:p w14:paraId="0133CA7D" w14:textId="3AEBCC3E" w:rsidR="00EB6B2E" w:rsidRDefault="00EB6B2E">
      <w:pPr>
        <w:rPr>
          <w:sz w:val="24"/>
          <w:szCs w:val="24"/>
        </w:rPr>
      </w:pPr>
      <w:r>
        <w:rPr>
          <w:sz w:val="24"/>
          <w:szCs w:val="24"/>
        </w:rPr>
        <w:br w:type="page"/>
      </w:r>
    </w:p>
    <w:p w14:paraId="03072E29" w14:textId="54C004FF" w:rsidR="00EB6B2E" w:rsidRPr="00EB6B2E" w:rsidRDefault="00EB6B2E" w:rsidP="00EB6B2E">
      <w:pPr>
        <w:spacing w:line="480" w:lineRule="auto"/>
        <w:jc w:val="center"/>
        <w:rPr>
          <w:b/>
          <w:bCs/>
          <w:sz w:val="24"/>
          <w:szCs w:val="24"/>
        </w:rPr>
      </w:pPr>
      <w:r w:rsidRPr="00EB6B2E">
        <w:rPr>
          <w:b/>
          <w:bCs/>
          <w:sz w:val="24"/>
          <w:szCs w:val="24"/>
        </w:rPr>
        <w:t>References.</w:t>
      </w:r>
    </w:p>
    <w:p w14:paraId="5D8AB5CC" w14:textId="77777777" w:rsidR="00EB6B2E" w:rsidRPr="00EB6B2E" w:rsidRDefault="00EB6B2E" w:rsidP="00EB6B2E">
      <w:pPr>
        <w:spacing w:line="480" w:lineRule="auto"/>
        <w:ind w:left="720" w:hanging="720"/>
        <w:jc w:val="both"/>
        <w:rPr>
          <w:color w:val="222222"/>
          <w:sz w:val="24"/>
          <w:szCs w:val="24"/>
          <w:shd w:val="clear" w:color="auto" w:fill="FFFFFF"/>
        </w:rPr>
      </w:pPr>
      <w:proofErr w:type="spellStart"/>
      <w:r w:rsidRPr="00EB6B2E">
        <w:rPr>
          <w:color w:val="222222"/>
          <w:sz w:val="24"/>
          <w:szCs w:val="24"/>
          <w:shd w:val="clear" w:color="auto" w:fill="FFFFFF"/>
        </w:rPr>
        <w:t>Boyjoo</w:t>
      </w:r>
      <w:proofErr w:type="spellEnd"/>
      <w:r w:rsidRPr="00EB6B2E">
        <w:rPr>
          <w:color w:val="222222"/>
          <w:sz w:val="24"/>
          <w:szCs w:val="24"/>
          <w:shd w:val="clear" w:color="auto" w:fill="FFFFFF"/>
        </w:rPr>
        <w:t>, Y., Cheng, Y., Zhong, H., Tian, H., Pan, J., Pareek, V. K., ... &amp; Liu, J. (2017). From waste Coca Cola® to activated carbons with impressive capabilities for CO2 adsorption and supercapacitors. </w:t>
      </w:r>
      <w:r w:rsidRPr="00EB6B2E">
        <w:rPr>
          <w:i/>
          <w:iCs/>
          <w:color w:val="222222"/>
          <w:sz w:val="24"/>
          <w:szCs w:val="24"/>
          <w:shd w:val="clear" w:color="auto" w:fill="FFFFFF"/>
        </w:rPr>
        <w:t>Carbon</w:t>
      </w:r>
      <w:r w:rsidRPr="00EB6B2E">
        <w:rPr>
          <w:color w:val="222222"/>
          <w:sz w:val="24"/>
          <w:szCs w:val="24"/>
          <w:shd w:val="clear" w:color="auto" w:fill="FFFFFF"/>
        </w:rPr>
        <w:t>, </w:t>
      </w:r>
      <w:r w:rsidRPr="00EB6B2E">
        <w:rPr>
          <w:i/>
          <w:iCs/>
          <w:color w:val="222222"/>
          <w:sz w:val="24"/>
          <w:szCs w:val="24"/>
          <w:shd w:val="clear" w:color="auto" w:fill="FFFFFF"/>
        </w:rPr>
        <w:t>116</w:t>
      </w:r>
      <w:r w:rsidRPr="00EB6B2E">
        <w:rPr>
          <w:color w:val="222222"/>
          <w:sz w:val="24"/>
          <w:szCs w:val="24"/>
          <w:shd w:val="clear" w:color="auto" w:fill="FFFFFF"/>
        </w:rPr>
        <w:t xml:space="preserve">, 490-499. </w:t>
      </w:r>
    </w:p>
    <w:p w14:paraId="2A35458E" w14:textId="6895FFFF" w:rsidR="00EB6B2E" w:rsidRPr="00EB6B2E" w:rsidRDefault="00EB6B2E" w:rsidP="00EB6B2E">
      <w:pPr>
        <w:spacing w:line="480" w:lineRule="auto"/>
        <w:ind w:left="720" w:hanging="720"/>
        <w:jc w:val="both"/>
        <w:rPr>
          <w:color w:val="222222"/>
          <w:sz w:val="24"/>
          <w:szCs w:val="24"/>
          <w:shd w:val="clear" w:color="auto" w:fill="FFFFFF"/>
        </w:rPr>
      </w:pPr>
      <w:proofErr w:type="spellStart"/>
      <w:r w:rsidRPr="00EB6B2E">
        <w:rPr>
          <w:color w:val="222222"/>
          <w:sz w:val="24"/>
          <w:szCs w:val="24"/>
          <w:shd w:val="clear" w:color="auto" w:fill="FFFFFF"/>
        </w:rPr>
        <w:t>Maani</w:t>
      </w:r>
      <w:proofErr w:type="spellEnd"/>
      <w:r w:rsidRPr="00EB6B2E">
        <w:rPr>
          <w:color w:val="222222"/>
          <w:sz w:val="24"/>
          <w:szCs w:val="24"/>
          <w:shd w:val="clear" w:color="auto" w:fill="FFFFFF"/>
        </w:rPr>
        <w:t xml:space="preserve"> </w:t>
      </w:r>
      <w:proofErr w:type="spellStart"/>
      <w:r w:rsidRPr="00EB6B2E">
        <w:rPr>
          <w:color w:val="222222"/>
          <w:sz w:val="24"/>
          <w:szCs w:val="24"/>
          <w:shd w:val="clear" w:color="auto" w:fill="FFFFFF"/>
        </w:rPr>
        <w:t>Hessari</w:t>
      </w:r>
      <w:proofErr w:type="spellEnd"/>
      <w:r w:rsidRPr="00EB6B2E">
        <w:rPr>
          <w:color w:val="222222"/>
          <w:sz w:val="24"/>
          <w:szCs w:val="24"/>
          <w:shd w:val="clear" w:color="auto" w:fill="FFFFFF"/>
        </w:rPr>
        <w:t xml:space="preserve">, N., Ruskin, G., </w:t>
      </w:r>
      <w:proofErr w:type="spellStart"/>
      <w:r w:rsidRPr="00EB6B2E">
        <w:rPr>
          <w:color w:val="222222"/>
          <w:sz w:val="24"/>
          <w:szCs w:val="24"/>
          <w:shd w:val="clear" w:color="auto" w:fill="FFFFFF"/>
        </w:rPr>
        <w:t>McKEE</w:t>
      </w:r>
      <w:proofErr w:type="spellEnd"/>
      <w:r w:rsidRPr="00EB6B2E">
        <w:rPr>
          <w:color w:val="222222"/>
          <w:sz w:val="24"/>
          <w:szCs w:val="24"/>
          <w:shd w:val="clear" w:color="auto" w:fill="FFFFFF"/>
        </w:rPr>
        <w:t xml:space="preserve">, M. A. R. T. I. N., &amp; </w:t>
      </w:r>
      <w:proofErr w:type="spellStart"/>
      <w:r w:rsidRPr="00EB6B2E">
        <w:rPr>
          <w:color w:val="222222"/>
          <w:sz w:val="24"/>
          <w:szCs w:val="24"/>
          <w:shd w:val="clear" w:color="auto" w:fill="FFFFFF"/>
        </w:rPr>
        <w:t>Stuckler</w:t>
      </w:r>
      <w:proofErr w:type="spellEnd"/>
      <w:r w:rsidRPr="00EB6B2E">
        <w:rPr>
          <w:color w:val="222222"/>
          <w:sz w:val="24"/>
          <w:szCs w:val="24"/>
          <w:shd w:val="clear" w:color="auto" w:fill="FFFFFF"/>
        </w:rPr>
        <w:t>, D. (2019). Public meets private: conversations between Coca‐Cola and the CDC. </w:t>
      </w:r>
      <w:r w:rsidRPr="00EB6B2E">
        <w:rPr>
          <w:i/>
          <w:iCs/>
          <w:color w:val="222222"/>
          <w:sz w:val="24"/>
          <w:szCs w:val="24"/>
          <w:shd w:val="clear" w:color="auto" w:fill="FFFFFF"/>
        </w:rPr>
        <w:t>The Milbank Quarterly</w:t>
      </w:r>
      <w:r w:rsidRPr="00EB6B2E">
        <w:rPr>
          <w:color w:val="222222"/>
          <w:sz w:val="24"/>
          <w:szCs w:val="24"/>
          <w:shd w:val="clear" w:color="auto" w:fill="FFFFFF"/>
        </w:rPr>
        <w:t>, </w:t>
      </w:r>
      <w:r w:rsidRPr="00EB6B2E">
        <w:rPr>
          <w:i/>
          <w:iCs/>
          <w:color w:val="222222"/>
          <w:sz w:val="24"/>
          <w:szCs w:val="24"/>
          <w:shd w:val="clear" w:color="auto" w:fill="FFFFFF"/>
        </w:rPr>
        <w:t>97</w:t>
      </w:r>
      <w:r w:rsidRPr="00EB6B2E">
        <w:rPr>
          <w:color w:val="222222"/>
          <w:sz w:val="24"/>
          <w:szCs w:val="24"/>
          <w:shd w:val="clear" w:color="auto" w:fill="FFFFFF"/>
        </w:rPr>
        <w:t xml:space="preserve">(1), 74-90. </w:t>
      </w:r>
    </w:p>
    <w:p w14:paraId="658C82E6" w14:textId="72E7304F" w:rsidR="00EB6B2E" w:rsidRPr="00EB6B2E" w:rsidRDefault="00EB6B2E" w:rsidP="00EB6B2E">
      <w:pPr>
        <w:spacing w:line="480" w:lineRule="auto"/>
        <w:ind w:left="720" w:hanging="720"/>
        <w:jc w:val="both"/>
        <w:rPr>
          <w:color w:val="222222"/>
          <w:sz w:val="24"/>
          <w:szCs w:val="24"/>
          <w:shd w:val="clear" w:color="auto" w:fill="FFFFFF"/>
        </w:rPr>
      </w:pPr>
      <w:proofErr w:type="spellStart"/>
      <w:r w:rsidRPr="00EB6B2E">
        <w:rPr>
          <w:color w:val="222222"/>
          <w:sz w:val="24"/>
          <w:szCs w:val="24"/>
          <w:shd w:val="clear" w:color="auto" w:fill="FFFFFF"/>
        </w:rPr>
        <w:t>Serôdio</w:t>
      </w:r>
      <w:proofErr w:type="spellEnd"/>
      <w:r w:rsidRPr="00EB6B2E">
        <w:rPr>
          <w:color w:val="222222"/>
          <w:sz w:val="24"/>
          <w:szCs w:val="24"/>
          <w:shd w:val="clear" w:color="auto" w:fill="FFFFFF"/>
        </w:rPr>
        <w:t xml:space="preserve">, P. M., McKee, M., &amp; </w:t>
      </w:r>
      <w:proofErr w:type="spellStart"/>
      <w:r w:rsidRPr="00EB6B2E">
        <w:rPr>
          <w:color w:val="222222"/>
          <w:sz w:val="24"/>
          <w:szCs w:val="24"/>
          <w:shd w:val="clear" w:color="auto" w:fill="FFFFFF"/>
        </w:rPr>
        <w:t>Stuckler</w:t>
      </w:r>
      <w:proofErr w:type="spellEnd"/>
      <w:r w:rsidRPr="00EB6B2E">
        <w:rPr>
          <w:color w:val="222222"/>
          <w:sz w:val="24"/>
          <w:szCs w:val="24"/>
          <w:shd w:val="clear" w:color="auto" w:fill="FFFFFF"/>
        </w:rPr>
        <w:t>, D. (2018). Coca-Cola–a model of transparency in research partnerships? A network analysis of Coca-Cola’s research funding (2008–2016). </w:t>
      </w:r>
      <w:r w:rsidRPr="00EB6B2E">
        <w:rPr>
          <w:i/>
          <w:iCs/>
          <w:color w:val="222222"/>
          <w:sz w:val="24"/>
          <w:szCs w:val="24"/>
          <w:shd w:val="clear" w:color="auto" w:fill="FFFFFF"/>
        </w:rPr>
        <w:t>Public health nutrition</w:t>
      </w:r>
      <w:r w:rsidRPr="00EB6B2E">
        <w:rPr>
          <w:color w:val="222222"/>
          <w:sz w:val="24"/>
          <w:szCs w:val="24"/>
          <w:shd w:val="clear" w:color="auto" w:fill="FFFFFF"/>
        </w:rPr>
        <w:t>, </w:t>
      </w:r>
      <w:r w:rsidRPr="00EB6B2E">
        <w:rPr>
          <w:i/>
          <w:iCs/>
          <w:color w:val="222222"/>
          <w:sz w:val="24"/>
          <w:szCs w:val="24"/>
          <w:shd w:val="clear" w:color="auto" w:fill="FFFFFF"/>
        </w:rPr>
        <w:t>21</w:t>
      </w:r>
      <w:r w:rsidRPr="00EB6B2E">
        <w:rPr>
          <w:color w:val="222222"/>
          <w:sz w:val="24"/>
          <w:szCs w:val="24"/>
          <w:shd w:val="clear" w:color="auto" w:fill="FFFFFF"/>
        </w:rPr>
        <w:t>(9), 1594-1607.</w:t>
      </w:r>
    </w:p>
    <w:p w14:paraId="380E283F" w14:textId="77777777" w:rsidR="00EB6B2E" w:rsidRPr="00EB6B2E" w:rsidRDefault="00EB6B2E" w:rsidP="00EB6B2E">
      <w:pPr>
        <w:spacing w:line="480" w:lineRule="auto"/>
        <w:jc w:val="both"/>
        <w:rPr>
          <w:sz w:val="24"/>
          <w:szCs w:val="24"/>
        </w:rPr>
      </w:pPr>
    </w:p>
    <w:sectPr w:rsidR="00EB6B2E" w:rsidRPr="00EB6B2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1130BB" w14:textId="77777777" w:rsidR="000F5A07" w:rsidRDefault="000F5A07" w:rsidP="00EB6B2E">
      <w:r>
        <w:separator/>
      </w:r>
    </w:p>
  </w:endnote>
  <w:endnote w:type="continuationSeparator" w:id="0">
    <w:p w14:paraId="563853B8" w14:textId="77777777" w:rsidR="000F5A07" w:rsidRDefault="000F5A07" w:rsidP="00EB6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095688" w14:textId="77777777" w:rsidR="00E2748D" w:rsidRDefault="00E274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86C587" w14:textId="77777777" w:rsidR="00E2748D" w:rsidRDefault="00E274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193E6E" w14:textId="77777777" w:rsidR="00E2748D" w:rsidRDefault="00E274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1AA192" w14:textId="77777777" w:rsidR="000F5A07" w:rsidRDefault="000F5A07" w:rsidP="00EB6B2E">
      <w:r>
        <w:separator/>
      </w:r>
    </w:p>
  </w:footnote>
  <w:footnote w:type="continuationSeparator" w:id="0">
    <w:p w14:paraId="15683266" w14:textId="77777777" w:rsidR="000F5A07" w:rsidRDefault="000F5A07" w:rsidP="00EB6B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31291E" w14:textId="77777777" w:rsidR="00E2748D" w:rsidRDefault="00E27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7504966"/>
      <w:docPartObj>
        <w:docPartGallery w:val="Page Numbers (Top of Page)"/>
        <w:docPartUnique/>
      </w:docPartObj>
    </w:sdtPr>
    <w:sdtEndPr>
      <w:rPr>
        <w:noProof/>
        <w:sz w:val="24"/>
        <w:szCs w:val="24"/>
      </w:rPr>
    </w:sdtEndPr>
    <w:sdtContent>
      <w:p w14:paraId="06587BD5" w14:textId="2B63F026" w:rsidR="00EB6B2E" w:rsidRPr="00EB6B2E" w:rsidRDefault="00EB6B2E">
        <w:pPr>
          <w:pStyle w:val="Header"/>
          <w:jc w:val="right"/>
          <w:rPr>
            <w:sz w:val="24"/>
            <w:szCs w:val="24"/>
          </w:rPr>
        </w:pPr>
        <w:r w:rsidRPr="00EB6B2E">
          <w:rPr>
            <w:sz w:val="24"/>
            <w:szCs w:val="24"/>
          </w:rPr>
          <w:fldChar w:fldCharType="begin"/>
        </w:r>
        <w:r w:rsidRPr="00EB6B2E">
          <w:rPr>
            <w:sz w:val="24"/>
            <w:szCs w:val="24"/>
          </w:rPr>
          <w:instrText xml:space="preserve"> PAGE   \* MERGEFORMAT </w:instrText>
        </w:r>
        <w:r w:rsidRPr="00EB6B2E">
          <w:rPr>
            <w:sz w:val="24"/>
            <w:szCs w:val="24"/>
          </w:rPr>
          <w:fldChar w:fldCharType="separate"/>
        </w:r>
        <w:r w:rsidRPr="00EB6B2E">
          <w:rPr>
            <w:noProof/>
            <w:sz w:val="24"/>
            <w:szCs w:val="24"/>
          </w:rPr>
          <w:t>2</w:t>
        </w:r>
        <w:r w:rsidRPr="00EB6B2E">
          <w:rPr>
            <w:noProof/>
            <w:sz w:val="24"/>
            <w:szCs w:val="24"/>
          </w:rPr>
          <w:fldChar w:fldCharType="end"/>
        </w:r>
      </w:p>
    </w:sdtContent>
  </w:sdt>
  <w:p w14:paraId="32E29FFF" w14:textId="77777777" w:rsidR="00EB6B2E" w:rsidRDefault="00EB6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10FBEF" w14:textId="77777777" w:rsidR="00E2748D" w:rsidRDefault="00E274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4E7D90"/>
    <w:multiLevelType w:val="hybridMultilevel"/>
    <w:tmpl w:val="00000000"/>
    <w:lvl w:ilvl="0" w:tplc="AAA61416" w:tentative="1">
      <w:start w:val="1"/>
      <w:numFmt w:val="bullet"/>
      <w:lvlText w:val="●"/>
      <w:lvlJc w:val="left"/>
      <w:pPr>
        <w:ind w:left="720" w:hanging="360"/>
      </w:pPr>
    </w:lvl>
    <w:lvl w:ilvl="1" w:tplc="EEDCEC54" w:tentative="1">
      <w:start w:val="1"/>
      <w:numFmt w:val="bullet"/>
      <w:lvlText w:val="○"/>
      <w:lvlJc w:val="left"/>
      <w:pPr>
        <w:ind w:left="1440" w:hanging="360"/>
      </w:pPr>
    </w:lvl>
    <w:lvl w:ilvl="2" w:tplc="D4C41AD0" w:tentative="1">
      <w:start w:val="1"/>
      <w:numFmt w:val="bullet"/>
      <w:lvlText w:val="■"/>
      <w:lvlJc w:val="left"/>
      <w:pPr>
        <w:ind w:left="2160" w:hanging="360"/>
      </w:pPr>
    </w:lvl>
    <w:lvl w:ilvl="3" w:tplc="F424B6B0" w:tentative="1">
      <w:start w:val="1"/>
      <w:numFmt w:val="bullet"/>
      <w:lvlText w:val="●"/>
      <w:lvlJc w:val="left"/>
      <w:pPr>
        <w:ind w:left="2880" w:hanging="360"/>
      </w:pPr>
    </w:lvl>
    <w:lvl w:ilvl="4" w:tplc="076C11DC" w:tentative="1">
      <w:start w:val="1"/>
      <w:numFmt w:val="bullet"/>
      <w:lvlText w:val="○"/>
      <w:lvlJc w:val="left"/>
      <w:pPr>
        <w:ind w:left="3600" w:hanging="360"/>
      </w:pPr>
    </w:lvl>
    <w:lvl w:ilvl="5" w:tplc="AC64F45A" w:tentative="1">
      <w:start w:val="1"/>
      <w:numFmt w:val="bullet"/>
      <w:lvlText w:val="■"/>
      <w:lvlJc w:val="left"/>
      <w:pPr>
        <w:ind w:left="4320" w:hanging="360"/>
      </w:pPr>
    </w:lvl>
    <w:lvl w:ilvl="6" w:tplc="BA6C37AC" w:tentative="1">
      <w:start w:val="1"/>
      <w:numFmt w:val="bullet"/>
      <w:lvlText w:val="●"/>
      <w:lvlJc w:val="left"/>
      <w:pPr>
        <w:ind w:left="5040" w:hanging="360"/>
      </w:pPr>
    </w:lvl>
    <w:lvl w:ilvl="7" w:tplc="1FC082F6" w:tentative="1">
      <w:start w:val="1"/>
      <w:numFmt w:val="bullet"/>
      <w:lvlText w:val="●"/>
      <w:lvlJc w:val="left"/>
      <w:pPr>
        <w:ind w:left="5760" w:hanging="360"/>
      </w:pPr>
    </w:lvl>
    <w:lvl w:ilvl="8" w:tplc="A2E81E50"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75"/>
  <w:displayBackgroundShape/>
  <w:proofState w:spelling="clean"/>
  <w:revisionView w:inkAnnotation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67A"/>
    <w:rsid w:val="000F5A07"/>
    <w:rsid w:val="0036067A"/>
    <w:rsid w:val="00A941AE"/>
    <w:rsid w:val="00D822C5"/>
    <w:rsid w:val="00E2748D"/>
    <w:rsid w:val="00EB6B2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7BEA0E"/>
  <w15:docId w15:val="{CAB11844-57B7-4B70-842B-E711E6D32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Heading11">
    <w:name w:val="Heading 11"/>
    <w:qFormat/>
    <w:rPr>
      <w:color w:val="2E74B5"/>
      <w:sz w:val="32"/>
      <w:szCs w:val="32"/>
    </w:rPr>
  </w:style>
  <w:style w:type="paragraph" w:customStyle="1" w:styleId="Heading21">
    <w:name w:val="Heading 21"/>
    <w:qFormat/>
    <w:rPr>
      <w:color w:val="2E74B5"/>
      <w:sz w:val="26"/>
      <w:szCs w:val="26"/>
    </w:rPr>
  </w:style>
  <w:style w:type="paragraph" w:customStyle="1" w:styleId="Heading31">
    <w:name w:val="Heading 31"/>
    <w:qFormat/>
    <w:rPr>
      <w:color w:val="1F4D78"/>
      <w:sz w:val="24"/>
      <w:szCs w:val="24"/>
    </w:rPr>
  </w:style>
  <w:style w:type="paragraph" w:customStyle="1" w:styleId="Heading41">
    <w:name w:val="Heading 41"/>
    <w:qFormat/>
    <w:rPr>
      <w:i/>
      <w:iCs/>
      <w:color w:val="2E74B5"/>
    </w:rPr>
  </w:style>
  <w:style w:type="paragraph" w:customStyle="1" w:styleId="Heading51">
    <w:name w:val="Heading 51"/>
    <w:qFormat/>
    <w:rPr>
      <w:color w:val="2E74B5"/>
    </w:rPr>
  </w:style>
  <w:style w:type="paragraph" w:customStyle="1" w:styleId="Heading61">
    <w:name w:val="Heading 61"/>
    <w:qFormat/>
    <w:rPr>
      <w:color w:val="1F4D78"/>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B6B2E"/>
    <w:pPr>
      <w:tabs>
        <w:tab w:val="center" w:pos="4680"/>
        <w:tab w:val="right" w:pos="9360"/>
      </w:tabs>
    </w:pPr>
  </w:style>
  <w:style w:type="character" w:customStyle="1" w:styleId="HeaderChar">
    <w:name w:val="Header Char"/>
    <w:basedOn w:val="DefaultParagraphFont"/>
    <w:link w:val="Header"/>
    <w:uiPriority w:val="99"/>
    <w:rsid w:val="00EB6B2E"/>
  </w:style>
  <w:style w:type="paragraph" w:styleId="Footer">
    <w:name w:val="footer"/>
    <w:basedOn w:val="Normal"/>
    <w:link w:val="FooterChar"/>
    <w:uiPriority w:val="99"/>
    <w:unhideWhenUsed/>
    <w:rsid w:val="00EB6B2E"/>
    <w:pPr>
      <w:tabs>
        <w:tab w:val="center" w:pos="4680"/>
        <w:tab w:val="right" w:pos="9360"/>
      </w:tabs>
    </w:pPr>
  </w:style>
  <w:style w:type="character" w:customStyle="1" w:styleId="FooterChar">
    <w:name w:val="Footer Char"/>
    <w:basedOn w:val="DefaultParagraphFont"/>
    <w:link w:val="Footer"/>
    <w:uiPriority w:val="99"/>
    <w:rsid w:val="00EB6B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footer" Target="footer3.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3.xml" /><Relationship Id="rId5" Type="http://schemas.openxmlformats.org/officeDocument/2006/relationships/footnotes" Target="footnotes.xml" /><Relationship Id="rId10" Type="http://schemas.openxmlformats.org/officeDocument/2006/relationships/footer" Target="footer2.xml" /><Relationship Id="rId4" Type="http://schemas.openxmlformats.org/officeDocument/2006/relationships/webSettings" Target="webSettings.xml" /><Relationship Id="rId9" Type="http://schemas.openxmlformats.org/officeDocument/2006/relationships/footer" Target="footer1.xm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690</Words>
  <Characters>3933</Characters>
  <Application>Microsoft Office Word</Application>
  <DocSecurity>0</DocSecurity>
  <Lines>32</Lines>
  <Paragraphs>9</Paragraphs>
  <ScaleCrop>false</ScaleCrop>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munorujorum@gmail.com</cp:lastModifiedBy>
  <cp:revision>2</cp:revision>
  <dcterms:created xsi:type="dcterms:W3CDTF">2021-09-24T02:34:00Z</dcterms:created>
  <dcterms:modified xsi:type="dcterms:W3CDTF">2021-09-24T02:34:00Z</dcterms:modified>
</cp:coreProperties>
</file>