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8" w:rsidRDefault="00BD0018" w:rsidP="00BD0018">
      <w:pPr>
        <w:tabs>
          <w:tab w:val="left" w:pos="954"/>
        </w:tabs>
        <w:spacing w:after="0" w:line="480" w:lineRule="auto"/>
        <w:jc w:val="center"/>
        <w:rPr>
          <w:rFonts w:ascii="Times New Roman" w:hAnsi="Times New Roman" w:cs="Times New Roman"/>
          <w:sz w:val="24"/>
          <w:szCs w:val="24"/>
        </w:rPr>
      </w:pPr>
      <w:bookmarkStart w:id="0" w:name="_GoBack"/>
      <w:bookmarkEnd w:id="0"/>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Default="00BD0018" w:rsidP="00BD0018">
      <w:pPr>
        <w:tabs>
          <w:tab w:val="left" w:pos="954"/>
        </w:tabs>
        <w:spacing w:after="0" w:line="480" w:lineRule="auto"/>
        <w:jc w:val="center"/>
        <w:rPr>
          <w:rFonts w:ascii="Times New Roman" w:hAnsi="Times New Roman" w:cs="Times New Roman"/>
          <w:sz w:val="24"/>
          <w:szCs w:val="24"/>
        </w:rPr>
      </w:pPr>
    </w:p>
    <w:p w:rsidR="00BD0018" w:rsidRPr="00BD0018" w:rsidRDefault="00191609" w:rsidP="00BD0018">
      <w:pPr>
        <w:tabs>
          <w:tab w:val="left" w:pos="954"/>
        </w:tabs>
        <w:spacing w:after="0" w:line="480" w:lineRule="auto"/>
        <w:jc w:val="center"/>
        <w:rPr>
          <w:rFonts w:ascii="Times New Roman" w:hAnsi="Times New Roman" w:cs="Times New Roman"/>
          <w:sz w:val="24"/>
          <w:szCs w:val="24"/>
        </w:rPr>
      </w:pPr>
      <w:r w:rsidRPr="00BD0018">
        <w:rPr>
          <w:rFonts w:ascii="Times New Roman" w:hAnsi="Times New Roman" w:cs="Times New Roman"/>
          <w:sz w:val="24"/>
          <w:szCs w:val="24"/>
        </w:rPr>
        <w:t>Risk Assessment in Corrections</w:t>
      </w:r>
    </w:p>
    <w:p w:rsidR="00BD0018" w:rsidRPr="00BD0018" w:rsidRDefault="00191609" w:rsidP="00BD0018">
      <w:pPr>
        <w:tabs>
          <w:tab w:val="left" w:pos="954"/>
        </w:tabs>
        <w:spacing w:after="0" w:line="480" w:lineRule="auto"/>
        <w:jc w:val="center"/>
        <w:rPr>
          <w:rFonts w:ascii="Times New Roman" w:hAnsi="Times New Roman" w:cs="Times New Roman"/>
          <w:sz w:val="24"/>
          <w:szCs w:val="24"/>
        </w:rPr>
      </w:pPr>
      <w:r w:rsidRPr="00BD0018">
        <w:rPr>
          <w:rFonts w:ascii="Times New Roman" w:hAnsi="Times New Roman" w:cs="Times New Roman"/>
          <w:sz w:val="24"/>
          <w:szCs w:val="24"/>
        </w:rPr>
        <w:t>Name</w:t>
      </w:r>
    </w:p>
    <w:p w:rsidR="00BD0018" w:rsidRPr="00BD0018" w:rsidRDefault="00191609" w:rsidP="00BD0018">
      <w:pPr>
        <w:tabs>
          <w:tab w:val="left" w:pos="954"/>
        </w:tabs>
        <w:spacing w:after="0" w:line="480" w:lineRule="auto"/>
        <w:jc w:val="center"/>
        <w:rPr>
          <w:rFonts w:ascii="Times New Roman" w:hAnsi="Times New Roman" w:cs="Times New Roman"/>
          <w:sz w:val="24"/>
          <w:szCs w:val="24"/>
        </w:rPr>
      </w:pPr>
      <w:r w:rsidRPr="00BD0018">
        <w:rPr>
          <w:rFonts w:ascii="Times New Roman" w:hAnsi="Times New Roman" w:cs="Times New Roman"/>
          <w:sz w:val="24"/>
          <w:szCs w:val="24"/>
        </w:rPr>
        <w:t>Institution</w:t>
      </w: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b/>
          <w:sz w:val="24"/>
          <w:szCs w:val="24"/>
        </w:rPr>
      </w:pPr>
    </w:p>
    <w:p w:rsidR="00BD0018" w:rsidRDefault="00BD0018" w:rsidP="00BD0018">
      <w:pPr>
        <w:spacing w:after="0" w:line="480" w:lineRule="auto"/>
        <w:jc w:val="center"/>
        <w:rPr>
          <w:rFonts w:ascii="Times New Roman" w:hAnsi="Times New Roman" w:cs="Times New Roman"/>
          <w:sz w:val="24"/>
          <w:szCs w:val="24"/>
        </w:rPr>
      </w:pPr>
    </w:p>
    <w:p w:rsidR="00BD0018" w:rsidRDefault="00191609" w:rsidP="00BD0018">
      <w:pPr>
        <w:spacing w:after="0" w:line="480" w:lineRule="auto"/>
        <w:jc w:val="center"/>
        <w:rPr>
          <w:rFonts w:ascii="Times New Roman" w:hAnsi="Times New Roman" w:cs="Times New Roman"/>
          <w:sz w:val="24"/>
          <w:szCs w:val="24"/>
        </w:rPr>
      </w:pPr>
      <w:r w:rsidRPr="00BD0018">
        <w:rPr>
          <w:rFonts w:ascii="Times New Roman" w:hAnsi="Times New Roman" w:cs="Times New Roman"/>
          <w:sz w:val="24"/>
          <w:szCs w:val="24"/>
        </w:rPr>
        <w:lastRenderedPageBreak/>
        <w:t>Risk Assessment in Correct</w:t>
      </w:r>
      <w:r>
        <w:rPr>
          <w:rFonts w:ascii="Times New Roman" w:hAnsi="Times New Roman" w:cs="Times New Roman"/>
          <w:sz w:val="24"/>
          <w:szCs w:val="24"/>
        </w:rPr>
        <w:t>ions</w:t>
      </w:r>
    </w:p>
    <w:p w:rsidR="00BD0018" w:rsidRPr="00BD0018" w:rsidRDefault="00191609" w:rsidP="00BD0018">
      <w:pPr>
        <w:spacing w:after="0" w:line="480" w:lineRule="auto"/>
        <w:jc w:val="center"/>
        <w:rPr>
          <w:rFonts w:ascii="Times New Roman" w:hAnsi="Times New Roman" w:cs="Times New Roman"/>
          <w:sz w:val="24"/>
          <w:szCs w:val="24"/>
        </w:rPr>
      </w:pPr>
      <w:r w:rsidRPr="00BD0018">
        <w:rPr>
          <w:rFonts w:ascii="Times New Roman" w:hAnsi="Times New Roman" w:cs="Times New Roman"/>
          <w:b/>
          <w:sz w:val="24"/>
          <w:szCs w:val="24"/>
        </w:rPr>
        <w:t>Introduction</w:t>
      </w:r>
    </w:p>
    <w:p w:rsidR="00D832BB"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A risk assessment instrument measures offenders' criminogenic risk factors and specific needs that, if addressed, will reduce the likelihood of future criminal activity (James, 2018). The assessment process usually involves an interview between an offender and the correctional officer. </w:t>
      </w:r>
      <w:r w:rsidR="00E4156F" w:rsidRPr="00BD0018">
        <w:rPr>
          <w:rFonts w:ascii="Times New Roman" w:hAnsi="Times New Roman" w:cs="Times New Roman"/>
          <w:sz w:val="24"/>
          <w:szCs w:val="24"/>
        </w:rPr>
        <w:t xml:space="preserve">The risk and needs assessment instruments are used to generate a total score that places the offender into a risk category of either low, moderate, or high (James, 2018).  </w:t>
      </w:r>
      <w:r w:rsidRPr="00BD0018">
        <w:rPr>
          <w:rFonts w:ascii="Times New Roman" w:hAnsi="Times New Roman" w:cs="Times New Roman"/>
          <w:sz w:val="24"/>
          <w:szCs w:val="24"/>
        </w:rPr>
        <w:t xml:space="preserve">This essay will focus on the </w:t>
      </w:r>
      <w:r w:rsidR="00E4156F" w:rsidRPr="00BD0018">
        <w:rPr>
          <w:rFonts w:ascii="Times New Roman" w:hAnsi="Times New Roman" w:cs="Times New Roman"/>
          <w:sz w:val="24"/>
          <w:szCs w:val="24"/>
        </w:rPr>
        <w:t>risk and need factors</w:t>
      </w:r>
      <w:r w:rsidRPr="00BD0018">
        <w:rPr>
          <w:rFonts w:ascii="Times New Roman" w:hAnsi="Times New Roman" w:cs="Times New Roman"/>
          <w:sz w:val="24"/>
          <w:szCs w:val="24"/>
        </w:rPr>
        <w:t xml:space="preserve">, the characteristics of risk assessment tools, and the </w:t>
      </w:r>
      <w:r w:rsidR="0054161B" w:rsidRPr="00BD0018">
        <w:rPr>
          <w:rFonts w:ascii="Times New Roman" w:hAnsi="Times New Roman" w:cs="Times New Roman"/>
          <w:sz w:val="24"/>
          <w:szCs w:val="24"/>
        </w:rPr>
        <w:t>qualities of reasonable risk and needs assessment instruments.</w:t>
      </w:r>
    </w:p>
    <w:p w:rsidR="00E4156F" w:rsidRPr="00BD0018" w:rsidRDefault="00191609" w:rsidP="00BD0018">
      <w:pPr>
        <w:spacing w:after="0" w:line="480" w:lineRule="auto"/>
        <w:jc w:val="center"/>
        <w:rPr>
          <w:rFonts w:ascii="Times New Roman" w:hAnsi="Times New Roman" w:cs="Times New Roman"/>
          <w:b/>
          <w:sz w:val="24"/>
          <w:szCs w:val="24"/>
        </w:rPr>
      </w:pPr>
      <w:r w:rsidRPr="00BD0018">
        <w:rPr>
          <w:rFonts w:ascii="Times New Roman" w:hAnsi="Times New Roman" w:cs="Times New Roman"/>
          <w:b/>
          <w:sz w:val="24"/>
          <w:szCs w:val="24"/>
        </w:rPr>
        <w:t>Risk and Needs Factors</w:t>
      </w:r>
    </w:p>
    <w:p w:rsidR="00E15D07"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Risk and needs factors are made up of both dynamic and static risk factors. The static risk factors are not bound to change, and the dynamic risk factors are linked to change, and they can </w:t>
      </w:r>
      <w:r w:rsidR="00482B5F" w:rsidRPr="00BD0018">
        <w:rPr>
          <w:rFonts w:ascii="Times New Roman" w:hAnsi="Times New Roman" w:cs="Times New Roman"/>
          <w:sz w:val="24"/>
          <w:szCs w:val="24"/>
        </w:rPr>
        <w:t>be evaluate</w:t>
      </w:r>
      <w:r w:rsidRPr="00BD0018">
        <w:rPr>
          <w:rFonts w:ascii="Times New Roman" w:hAnsi="Times New Roman" w:cs="Times New Roman"/>
          <w:sz w:val="24"/>
          <w:szCs w:val="24"/>
        </w:rPr>
        <w:t>d based on interventions. The</w:t>
      </w:r>
      <w:r w:rsidR="00482B5F" w:rsidRPr="00BD0018">
        <w:rPr>
          <w:rFonts w:ascii="Times New Roman" w:hAnsi="Times New Roman" w:cs="Times New Roman"/>
          <w:sz w:val="24"/>
          <w:szCs w:val="24"/>
        </w:rPr>
        <w:t>re are central eight risks and need elements. The central eight contains the big four believed to be the significant predictor variable and the significant causal variable in the analysis of criminal behavior in individuals (</w:t>
      </w:r>
      <w:r w:rsidRPr="00BD0018">
        <w:rPr>
          <w:rFonts w:ascii="Times New Roman" w:hAnsi="Times New Roman" w:cs="Times New Roman"/>
          <w:sz w:val="24"/>
          <w:szCs w:val="24"/>
        </w:rPr>
        <w:t>James, 2018</w:t>
      </w:r>
      <w:r w:rsidR="00482B5F" w:rsidRPr="00BD0018">
        <w:rPr>
          <w:rFonts w:ascii="Times New Roman" w:hAnsi="Times New Roman" w:cs="Times New Roman"/>
          <w:sz w:val="24"/>
          <w:szCs w:val="24"/>
        </w:rPr>
        <w:t>).</w:t>
      </w:r>
      <w:r w:rsidRPr="00BD0018">
        <w:rPr>
          <w:rFonts w:ascii="Times New Roman" w:hAnsi="Times New Roman" w:cs="Times New Roman"/>
          <w:sz w:val="24"/>
          <w:szCs w:val="24"/>
        </w:rPr>
        <w:t xml:space="preserve"> </w:t>
      </w:r>
    </w:p>
    <w:p w:rsidR="00E4156F"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 xml:space="preserve">History of Antisocial </w:t>
      </w:r>
      <w:r w:rsidR="00D95983" w:rsidRPr="00BD0018">
        <w:rPr>
          <w:rFonts w:ascii="Times New Roman" w:hAnsi="Times New Roman" w:cs="Times New Roman"/>
          <w:b/>
          <w:sz w:val="24"/>
          <w:szCs w:val="24"/>
        </w:rPr>
        <w:t>Behaviors</w:t>
      </w:r>
    </w:p>
    <w:p w:rsidR="00E15D07"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The history of antisocial behavior is a risk factor that involves early </w:t>
      </w:r>
      <w:r w:rsidR="00D95983" w:rsidRPr="00BD0018">
        <w:rPr>
          <w:rFonts w:ascii="Times New Roman" w:hAnsi="Times New Roman" w:cs="Times New Roman"/>
          <w:sz w:val="24"/>
          <w:szCs w:val="24"/>
        </w:rPr>
        <w:t>involvement</w:t>
      </w:r>
      <w:r w:rsidRPr="00BD0018">
        <w:rPr>
          <w:rFonts w:ascii="Times New Roman" w:hAnsi="Times New Roman" w:cs="Times New Roman"/>
          <w:sz w:val="24"/>
          <w:szCs w:val="24"/>
        </w:rPr>
        <w:t xml:space="preserve"> in any number of a variety of antisocial activit</w:t>
      </w:r>
      <w:r w:rsidR="00D95983" w:rsidRPr="00BD0018">
        <w:rPr>
          <w:rFonts w:ascii="Times New Roman" w:hAnsi="Times New Roman" w:cs="Times New Roman"/>
          <w:sz w:val="24"/>
          <w:szCs w:val="24"/>
        </w:rPr>
        <w:t>ies (James, 2018). The main predictors include an individual getting arrested at a younger age, having a large number of offenses committed in the past, and violation of rules while the offender is on a conditional release. The need for intervening using this factor is to change the future or to break the trend of prior offenses.</w:t>
      </w:r>
    </w:p>
    <w:p w:rsidR="00D95983"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Antisocial Personality Pattern</w:t>
      </w:r>
    </w:p>
    <w:p w:rsidR="00D95983"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lastRenderedPageBreak/>
        <w:t>The antisocial and personality pattern is a factor whereby the leading indicators include people who are impulsive, adventurous, and pleasure-seeking, involved in generalized trouble, restlessly aggressive, and show a callous disregard for others (James, 2018). The target for intervention is to create skills that will help address cases of weak self-control, management of anger, and encourage proper solving problem capability.</w:t>
      </w:r>
    </w:p>
    <w:p w:rsidR="00D95983"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Antisocial Cognition</w:t>
      </w:r>
    </w:p>
    <w:p w:rsidR="00D95983"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Antisocial cognition is a risk factor that includes individuals who withhold attitudes, beliefs, values, rationalizations, and personal identity that is favorable to crime. The indicators for this factor are identification with crimes, having a negative view of the law, having beliefs that committing crime leads to positive things or rewards, making rational conclusions that are justifying the crime. </w:t>
      </w:r>
      <w:r w:rsidR="0093168F" w:rsidRPr="00BD0018">
        <w:rPr>
          <w:rFonts w:ascii="Times New Roman" w:hAnsi="Times New Roman" w:cs="Times New Roman"/>
          <w:sz w:val="24"/>
          <w:szCs w:val="24"/>
        </w:rPr>
        <w:t>The target for intervention for this factor is to decrease the level of antisocial thinking and helping individuals to have less harmful thinking instances or feelings.</w:t>
      </w:r>
    </w:p>
    <w:p w:rsidR="0093168F"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Antisocial Awareness</w:t>
      </w:r>
    </w:p>
    <w:p w:rsidR="0093168F"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This factor includes both associations with pro-criminal others and isolation from anticriminal others (James, 2018). The target for intervention for this factor is to decrease the association with pro-criminal others and encourage association with anticriminal others.</w:t>
      </w:r>
    </w:p>
    <w:p w:rsidR="0093168F"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Family or Marital Circumstances</w:t>
      </w:r>
    </w:p>
    <w:p w:rsidR="0093168F"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People who are in this category have the characteristic of a weak relationship between the child and the parent. It involves juvenile offenders. The target for intervention is to decrease the conflict and encourage positive and healthy relationships between children and parents.</w:t>
      </w:r>
    </w:p>
    <w:p w:rsidR="00A74685"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School or Work</w:t>
      </w:r>
    </w:p>
    <w:p w:rsidR="00A74685"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lastRenderedPageBreak/>
        <w:t>People identified under this factor include those who have low-performance either at school or at work, and they also have a low level of reward and satisfaction. The target for intervention is to enhance performance, involvement, awards, and satisfaction (James, 2018).</w:t>
      </w:r>
    </w:p>
    <w:p w:rsidR="00A74685"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 xml:space="preserve">Leisure </w:t>
      </w:r>
    </w:p>
    <w:p w:rsidR="00E15D07"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Under the leisure factor, the assessment is on individuals who are rarely involved in noncriminal leisure pursuits. The target for intervention is to encourage a person to be more involved and satisfied with leisure activities that do not include crime.</w:t>
      </w:r>
    </w:p>
    <w:p w:rsidR="00122895"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Substance Abuse</w:t>
      </w:r>
    </w:p>
    <w:p w:rsidR="00122895"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Substance abuse is a factor that focuses on people who have a problem with alcohol abuse or drug abuse. A current problem with substance abuse is an indicator of a high risk than past substance e abuse (James, 2018). </w:t>
      </w:r>
      <w:r w:rsidR="00F850DF" w:rsidRPr="00BD0018">
        <w:rPr>
          <w:rFonts w:ascii="Times New Roman" w:hAnsi="Times New Roman" w:cs="Times New Roman"/>
          <w:sz w:val="24"/>
          <w:szCs w:val="24"/>
        </w:rPr>
        <w:t xml:space="preserve">The target for intervention is to decrease an individual’s risk of substance abuse. </w:t>
      </w:r>
    </w:p>
    <w:p w:rsidR="00F850DF" w:rsidRPr="00BD0018" w:rsidRDefault="00191609" w:rsidP="00BD0018">
      <w:pPr>
        <w:spacing w:after="0" w:line="480" w:lineRule="auto"/>
        <w:jc w:val="center"/>
        <w:rPr>
          <w:rFonts w:ascii="Times New Roman" w:hAnsi="Times New Roman" w:cs="Times New Roman"/>
          <w:b/>
          <w:sz w:val="24"/>
          <w:szCs w:val="24"/>
        </w:rPr>
      </w:pPr>
      <w:r w:rsidRPr="00BD0018">
        <w:rPr>
          <w:rFonts w:ascii="Times New Roman" w:hAnsi="Times New Roman" w:cs="Times New Roman"/>
          <w:b/>
          <w:sz w:val="24"/>
          <w:szCs w:val="24"/>
        </w:rPr>
        <w:t>Characteristics of Risk Assessment Instruments</w:t>
      </w:r>
    </w:p>
    <w:p w:rsidR="002278BB"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Recidivism risk assessment instruments may be distinguished in terms of their approach, item type, and item content ( Desmarais, Johnson, &amp; Singh, 2016). The strategies used in risk assessment tools are distinguished using two categories. The categories are actuarial and structured professional judgment. Under the actuarial approach, the offenders are assessed based on a mechanical model. In the model, the offenders are scored on a series of items that were strongly associated with recidivism in the development samples ( Desmarais, Johnson, &amp; Singh, 2016).</w:t>
      </w:r>
    </w:p>
    <w:p w:rsidR="00EB305E"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The structured professional judgment is different from the actuarial approach since it guides the assessors to consider a set of factors that are empirically and theoretically associated with the outcome of interest</w:t>
      </w:r>
      <w:r w:rsidR="00543A8F" w:rsidRPr="00BD0018">
        <w:rPr>
          <w:rFonts w:ascii="Times New Roman" w:hAnsi="Times New Roman" w:cs="Times New Roman"/>
          <w:sz w:val="24"/>
          <w:szCs w:val="24"/>
        </w:rPr>
        <w:t xml:space="preserve"> ( Desmarais, Johnson, &amp; Singh, 2016). In this approach, still the </w:t>
      </w:r>
      <w:r w:rsidR="00543A8F" w:rsidRPr="00BD0018">
        <w:rPr>
          <w:rFonts w:ascii="Times New Roman" w:hAnsi="Times New Roman" w:cs="Times New Roman"/>
          <w:sz w:val="24"/>
          <w:szCs w:val="24"/>
        </w:rPr>
        <w:lastRenderedPageBreak/>
        <w:t xml:space="preserve">individuals are scored, but the main objective of the assessor is to judge based on risk level. Another factor in identifying risk assessment instruments is by </w:t>
      </w:r>
      <w:r w:rsidR="0054161B" w:rsidRPr="00BD0018">
        <w:rPr>
          <w:rFonts w:ascii="Times New Roman" w:hAnsi="Times New Roman" w:cs="Times New Roman"/>
          <w:sz w:val="24"/>
          <w:szCs w:val="24"/>
        </w:rPr>
        <w:t>the content of their items. The content of their questions can entail different factors such as risk, protective, static, and dynamic factors.</w:t>
      </w:r>
    </w:p>
    <w:p w:rsidR="0054161B" w:rsidRPr="00BD0018" w:rsidRDefault="00191609" w:rsidP="00BD0018">
      <w:pPr>
        <w:spacing w:after="0" w:line="480" w:lineRule="auto"/>
        <w:jc w:val="center"/>
        <w:rPr>
          <w:rFonts w:ascii="Times New Roman" w:hAnsi="Times New Roman" w:cs="Times New Roman"/>
          <w:b/>
          <w:sz w:val="24"/>
          <w:szCs w:val="24"/>
        </w:rPr>
      </w:pPr>
      <w:r w:rsidRPr="00BD0018">
        <w:rPr>
          <w:rFonts w:ascii="Times New Roman" w:hAnsi="Times New Roman" w:cs="Times New Roman"/>
          <w:b/>
          <w:sz w:val="24"/>
          <w:szCs w:val="24"/>
        </w:rPr>
        <w:t xml:space="preserve">Qualities of Good Risk and Need </w:t>
      </w:r>
      <w:r w:rsidR="00F876CE" w:rsidRPr="00BD0018">
        <w:rPr>
          <w:rFonts w:ascii="Times New Roman" w:hAnsi="Times New Roman" w:cs="Times New Roman"/>
          <w:b/>
          <w:sz w:val="24"/>
          <w:szCs w:val="24"/>
        </w:rPr>
        <w:t>Assessment</w:t>
      </w:r>
      <w:r w:rsidRPr="00BD0018">
        <w:rPr>
          <w:rFonts w:ascii="Times New Roman" w:hAnsi="Times New Roman" w:cs="Times New Roman"/>
          <w:b/>
          <w:sz w:val="24"/>
          <w:szCs w:val="24"/>
        </w:rPr>
        <w:t xml:space="preserve"> </w:t>
      </w:r>
      <w:r w:rsidR="00F876CE" w:rsidRPr="00BD0018">
        <w:rPr>
          <w:rFonts w:ascii="Times New Roman" w:hAnsi="Times New Roman" w:cs="Times New Roman"/>
          <w:b/>
          <w:sz w:val="24"/>
          <w:szCs w:val="24"/>
        </w:rPr>
        <w:t>Instruments</w:t>
      </w:r>
    </w:p>
    <w:p w:rsidR="0054161B" w:rsidRPr="00BD0018" w:rsidRDefault="00191609" w:rsidP="00BD0018">
      <w:pPr>
        <w:spacing w:after="0" w:line="480" w:lineRule="auto"/>
        <w:rPr>
          <w:rFonts w:ascii="Times New Roman" w:hAnsi="Times New Roman" w:cs="Times New Roman"/>
          <w:sz w:val="24"/>
          <w:szCs w:val="24"/>
        </w:rPr>
      </w:pPr>
      <w:r w:rsidRPr="00BD0018">
        <w:rPr>
          <w:rFonts w:ascii="Times New Roman" w:hAnsi="Times New Roman" w:cs="Times New Roman"/>
          <w:sz w:val="24"/>
          <w:szCs w:val="24"/>
        </w:rPr>
        <w:t>The character of functional assessment tools is categorized based on reliability and validity.</w:t>
      </w:r>
    </w:p>
    <w:p w:rsidR="00F876CE"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Reliability</w:t>
      </w:r>
    </w:p>
    <w:p w:rsidR="00F876CE" w:rsidRPr="00BD0018" w:rsidRDefault="00191609" w:rsidP="00BD0018">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A good risk assessment instrument should be reliable and provide results that are consistent if administered to different people. </w:t>
      </w:r>
      <w:r w:rsidR="005A4B1B" w:rsidRPr="00BD0018">
        <w:rPr>
          <w:rFonts w:ascii="Times New Roman" w:hAnsi="Times New Roman" w:cs="Times New Roman"/>
          <w:sz w:val="24"/>
          <w:szCs w:val="24"/>
        </w:rPr>
        <w:t>Reliability that can produce the same results even after being applied to different people is known as test-retest reliability. This form of reliability reflects the ability of the risk assessment instrument to generate a similar if not identical result when administered and re-administered to the same offender under similar circumstances (National Center for State Courts, 2014).</w:t>
      </w:r>
    </w:p>
    <w:p w:rsidR="00AD01B2" w:rsidRPr="00BD0018" w:rsidRDefault="00191609" w:rsidP="00BD0018">
      <w:pPr>
        <w:spacing w:after="0" w:line="480" w:lineRule="auto"/>
        <w:rPr>
          <w:rFonts w:ascii="Times New Roman" w:hAnsi="Times New Roman" w:cs="Times New Roman"/>
          <w:sz w:val="24"/>
          <w:szCs w:val="24"/>
        </w:rPr>
      </w:pPr>
      <w:r w:rsidRPr="00BD0018">
        <w:rPr>
          <w:rFonts w:ascii="Times New Roman" w:hAnsi="Times New Roman" w:cs="Times New Roman"/>
          <w:sz w:val="24"/>
          <w:szCs w:val="24"/>
        </w:rPr>
        <w:t>The second form of reliability is known as inter-rater reliability. This form of reliability determines the degree to which different test administrators give the same offender similar scores on individual items as well as f</w:t>
      </w:r>
      <w:r w:rsidR="00BD0018" w:rsidRPr="00BD0018">
        <w:rPr>
          <w:rFonts w:ascii="Times New Roman" w:hAnsi="Times New Roman" w:cs="Times New Roman"/>
          <w:sz w:val="24"/>
          <w:szCs w:val="24"/>
        </w:rPr>
        <w:t xml:space="preserve">or the overall </w:t>
      </w:r>
      <w:r w:rsidR="00BD0018" w:rsidRPr="00BD0018">
        <w:rPr>
          <w:rFonts w:ascii="Times New Roman" w:hAnsi="Times New Roman" w:cs="Times New Roman"/>
          <w:color w:val="000000"/>
          <w:sz w:val="24"/>
          <w:szCs w:val="24"/>
          <w:shd w:val="clear" w:color="auto" w:fill="FFFFFF"/>
        </w:rPr>
        <w:t>(National Center for State Courts, 2014)</w:t>
      </w:r>
      <w:r w:rsidRPr="00BD0018">
        <w:rPr>
          <w:rFonts w:ascii="Times New Roman" w:hAnsi="Times New Roman" w:cs="Times New Roman"/>
          <w:sz w:val="24"/>
          <w:szCs w:val="24"/>
        </w:rPr>
        <w:t xml:space="preserve">.  </w:t>
      </w:r>
    </w:p>
    <w:p w:rsidR="0054161B" w:rsidRPr="00BD0018" w:rsidRDefault="00191609" w:rsidP="00BD0018">
      <w:pPr>
        <w:spacing w:after="0" w:line="480" w:lineRule="auto"/>
        <w:rPr>
          <w:rFonts w:ascii="Times New Roman" w:hAnsi="Times New Roman" w:cs="Times New Roman"/>
          <w:b/>
          <w:sz w:val="24"/>
          <w:szCs w:val="24"/>
        </w:rPr>
      </w:pPr>
      <w:r w:rsidRPr="00BD0018">
        <w:rPr>
          <w:rFonts w:ascii="Times New Roman" w:hAnsi="Times New Roman" w:cs="Times New Roman"/>
          <w:b/>
          <w:sz w:val="24"/>
          <w:szCs w:val="24"/>
        </w:rPr>
        <w:t>Validity</w:t>
      </w:r>
    </w:p>
    <w:p w:rsidR="00CC780B" w:rsidRDefault="00191609" w:rsidP="00CC780B">
      <w:pPr>
        <w:spacing w:after="0" w:line="480" w:lineRule="auto"/>
        <w:ind w:firstLine="720"/>
        <w:rPr>
          <w:rFonts w:ascii="Times New Roman" w:hAnsi="Times New Roman" w:cs="Times New Roman"/>
          <w:sz w:val="24"/>
          <w:szCs w:val="24"/>
        </w:rPr>
      </w:pPr>
      <w:r w:rsidRPr="00BD0018">
        <w:rPr>
          <w:rFonts w:ascii="Times New Roman" w:hAnsi="Times New Roman" w:cs="Times New Roman"/>
          <w:sz w:val="24"/>
          <w:szCs w:val="24"/>
        </w:rPr>
        <w:t xml:space="preserve">A good risk assessment instrument should be able to measure its aim. </w:t>
      </w:r>
      <w:r w:rsidR="00A8790C" w:rsidRPr="00BD0018">
        <w:rPr>
          <w:rFonts w:ascii="Times New Roman" w:hAnsi="Times New Roman" w:cs="Times New Roman"/>
          <w:sz w:val="24"/>
          <w:szCs w:val="24"/>
        </w:rPr>
        <w:t>The quality of validity focuses on measurement accuracy and also assumes that the tool can be implemented reliably</w:t>
      </w:r>
      <w:r w:rsidR="00AC16B6" w:rsidRPr="00BD0018">
        <w:rPr>
          <w:rFonts w:ascii="Times New Roman" w:hAnsi="Times New Roman" w:cs="Times New Roman"/>
          <w:color w:val="000000"/>
          <w:sz w:val="24"/>
          <w:szCs w:val="24"/>
          <w:shd w:val="clear" w:color="auto" w:fill="FFFFFF"/>
        </w:rPr>
        <w:t>(National Center for State Courts, 2014)</w:t>
      </w:r>
      <w:r w:rsidR="00A8790C" w:rsidRPr="00BD0018">
        <w:rPr>
          <w:rFonts w:ascii="Times New Roman" w:hAnsi="Times New Roman" w:cs="Times New Roman"/>
          <w:sz w:val="24"/>
          <w:szCs w:val="24"/>
        </w:rPr>
        <w:t xml:space="preserve">. </w:t>
      </w:r>
      <w:r w:rsidRPr="00BD0018">
        <w:rPr>
          <w:rFonts w:ascii="Times New Roman" w:hAnsi="Times New Roman" w:cs="Times New Roman"/>
          <w:sz w:val="24"/>
          <w:szCs w:val="24"/>
        </w:rPr>
        <w:t xml:space="preserve">In assessing offenders, the most used form of validity is predictive validity. Predictive validity is the degree to which the results of the risk and need assessment instrument are related to behavioral outcomes of offenders in the aggregate </w:t>
      </w:r>
      <w:r w:rsidR="00AC16B6" w:rsidRPr="00BD0018">
        <w:rPr>
          <w:rFonts w:ascii="Times New Roman" w:hAnsi="Times New Roman" w:cs="Times New Roman"/>
          <w:color w:val="000000"/>
          <w:sz w:val="24"/>
          <w:szCs w:val="24"/>
          <w:shd w:val="clear" w:color="auto" w:fill="FFFFFF"/>
        </w:rPr>
        <w:t>(National Center for State Courts, 2014)</w:t>
      </w:r>
      <w:r w:rsidRPr="00BD0018">
        <w:rPr>
          <w:rFonts w:ascii="Times New Roman" w:hAnsi="Times New Roman" w:cs="Times New Roman"/>
          <w:sz w:val="24"/>
          <w:szCs w:val="24"/>
        </w:rPr>
        <w:t xml:space="preserve">. </w:t>
      </w:r>
    </w:p>
    <w:p w:rsidR="00E15D07" w:rsidRDefault="00191609" w:rsidP="00CC780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D0018" w:rsidRPr="00BD0018" w:rsidRDefault="00191609" w:rsidP="00BD0018">
      <w:pPr>
        <w:spacing w:after="0" w:line="480" w:lineRule="auto"/>
        <w:ind w:left="720" w:hanging="720"/>
        <w:rPr>
          <w:rFonts w:ascii="Times New Roman" w:hAnsi="Times New Roman" w:cs="Times New Roman"/>
          <w:color w:val="222222"/>
          <w:sz w:val="24"/>
          <w:szCs w:val="24"/>
          <w:shd w:val="clear" w:color="auto" w:fill="FFFFFF"/>
        </w:rPr>
      </w:pPr>
      <w:r w:rsidRPr="00BD0018">
        <w:rPr>
          <w:rFonts w:ascii="Times New Roman" w:hAnsi="Times New Roman" w:cs="Times New Roman"/>
          <w:color w:val="222222"/>
          <w:sz w:val="24"/>
          <w:szCs w:val="24"/>
          <w:shd w:val="clear" w:color="auto" w:fill="FFFFFF"/>
        </w:rPr>
        <w:t>Desmarais, S. L., Johnson, K. L., &amp; Singh, J. P. (2016). Performance of recidivism risk assessment instruments in US correctional settings. </w:t>
      </w:r>
      <w:r w:rsidRPr="00BD0018">
        <w:rPr>
          <w:rFonts w:ascii="Times New Roman" w:hAnsi="Times New Roman" w:cs="Times New Roman"/>
          <w:i/>
          <w:iCs/>
          <w:color w:val="222222"/>
          <w:sz w:val="24"/>
          <w:szCs w:val="24"/>
          <w:shd w:val="clear" w:color="auto" w:fill="FFFFFF"/>
        </w:rPr>
        <w:t>Psychological Services</w:t>
      </w:r>
      <w:r w:rsidRPr="00BD0018">
        <w:rPr>
          <w:rFonts w:ascii="Times New Roman" w:hAnsi="Times New Roman" w:cs="Times New Roman"/>
          <w:color w:val="222222"/>
          <w:sz w:val="24"/>
          <w:szCs w:val="24"/>
          <w:shd w:val="clear" w:color="auto" w:fill="FFFFFF"/>
        </w:rPr>
        <w:t>, </w:t>
      </w:r>
      <w:r w:rsidRPr="00BD0018">
        <w:rPr>
          <w:rFonts w:ascii="Times New Roman" w:hAnsi="Times New Roman" w:cs="Times New Roman"/>
          <w:i/>
          <w:iCs/>
          <w:color w:val="222222"/>
          <w:sz w:val="24"/>
          <w:szCs w:val="24"/>
          <w:shd w:val="clear" w:color="auto" w:fill="FFFFFF"/>
        </w:rPr>
        <w:t>13</w:t>
      </w:r>
      <w:r w:rsidRPr="00BD0018">
        <w:rPr>
          <w:rFonts w:ascii="Times New Roman" w:hAnsi="Times New Roman" w:cs="Times New Roman"/>
          <w:color w:val="222222"/>
          <w:sz w:val="24"/>
          <w:szCs w:val="24"/>
          <w:shd w:val="clear" w:color="auto" w:fill="FFFFFF"/>
        </w:rPr>
        <w:t xml:space="preserve">(3), 206. </w:t>
      </w:r>
    </w:p>
    <w:p w:rsidR="00BD0018" w:rsidRPr="00BD0018" w:rsidRDefault="00191609" w:rsidP="00BD0018">
      <w:pPr>
        <w:spacing w:after="0" w:line="480" w:lineRule="auto"/>
        <w:ind w:left="720" w:hanging="720"/>
        <w:rPr>
          <w:rFonts w:ascii="Times New Roman" w:hAnsi="Times New Roman" w:cs="Times New Roman"/>
          <w:color w:val="222222"/>
          <w:sz w:val="24"/>
          <w:szCs w:val="24"/>
          <w:shd w:val="clear" w:color="auto" w:fill="FFFFFF"/>
        </w:rPr>
      </w:pPr>
      <w:r w:rsidRPr="00BD0018">
        <w:rPr>
          <w:rFonts w:ascii="Times New Roman" w:hAnsi="Times New Roman" w:cs="Times New Roman"/>
          <w:color w:val="222222"/>
          <w:sz w:val="24"/>
          <w:szCs w:val="24"/>
          <w:shd w:val="clear" w:color="auto" w:fill="FFFFFF"/>
        </w:rPr>
        <w:t>James, N. (2018). Risk and Needs Assessment in the Federal Prison System. </w:t>
      </w:r>
      <w:r w:rsidRPr="00BD0018">
        <w:rPr>
          <w:rFonts w:ascii="Times New Roman" w:hAnsi="Times New Roman" w:cs="Times New Roman"/>
          <w:i/>
          <w:iCs/>
          <w:color w:val="222222"/>
          <w:sz w:val="24"/>
          <w:szCs w:val="24"/>
          <w:shd w:val="clear" w:color="auto" w:fill="FFFFFF"/>
        </w:rPr>
        <w:t>Congressional Research Service, July</w:t>
      </w:r>
      <w:r w:rsidRPr="00BD0018">
        <w:rPr>
          <w:rFonts w:ascii="Times New Roman" w:hAnsi="Times New Roman" w:cs="Times New Roman"/>
          <w:color w:val="222222"/>
          <w:sz w:val="24"/>
          <w:szCs w:val="24"/>
          <w:shd w:val="clear" w:color="auto" w:fill="FFFFFF"/>
        </w:rPr>
        <w:t>, </w:t>
      </w:r>
      <w:r w:rsidRPr="00BD0018">
        <w:rPr>
          <w:rFonts w:ascii="Times New Roman" w:hAnsi="Times New Roman" w:cs="Times New Roman"/>
          <w:i/>
          <w:iCs/>
          <w:color w:val="222222"/>
          <w:sz w:val="24"/>
          <w:szCs w:val="24"/>
          <w:shd w:val="clear" w:color="auto" w:fill="FFFFFF"/>
        </w:rPr>
        <w:t>10</w:t>
      </w:r>
      <w:r w:rsidRPr="00BD0018">
        <w:rPr>
          <w:rFonts w:ascii="Times New Roman" w:hAnsi="Times New Roman" w:cs="Times New Roman"/>
          <w:color w:val="222222"/>
          <w:sz w:val="24"/>
          <w:szCs w:val="24"/>
          <w:shd w:val="clear" w:color="auto" w:fill="FFFFFF"/>
        </w:rPr>
        <w:t>.</w:t>
      </w:r>
    </w:p>
    <w:p w:rsidR="00BD0018" w:rsidRPr="00BD0018" w:rsidRDefault="00191609" w:rsidP="00BD0018">
      <w:pPr>
        <w:spacing w:after="0" w:line="480" w:lineRule="auto"/>
        <w:ind w:left="720" w:hanging="720"/>
        <w:rPr>
          <w:rFonts w:ascii="Times New Roman" w:hAnsi="Times New Roman" w:cs="Times New Roman"/>
          <w:color w:val="222222"/>
          <w:sz w:val="24"/>
          <w:szCs w:val="24"/>
          <w:shd w:val="clear" w:color="auto" w:fill="FFFFFF"/>
        </w:rPr>
      </w:pPr>
      <w:r w:rsidRPr="00BD0018">
        <w:rPr>
          <w:rFonts w:ascii="Times New Roman" w:hAnsi="Times New Roman" w:cs="Times New Roman"/>
          <w:color w:val="000000"/>
          <w:sz w:val="24"/>
          <w:szCs w:val="24"/>
          <w:shd w:val="clear" w:color="auto" w:fill="FFFFFF"/>
        </w:rPr>
        <w:t>National Center for State Courts. (2014). </w:t>
      </w:r>
      <w:r w:rsidRPr="00BD0018">
        <w:rPr>
          <w:rFonts w:ascii="Times New Roman" w:hAnsi="Times New Roman" w:cs="Times New Roman"/>
          <w:i/>
          <w:iCs/>
          <w:color w:val="000000"/>
          <w:sz w:val="24"/>
          <w:szCs w:val="24"/>
          <w:shd w:val="clear" w:color="auto" w:fill="FFFFFF"/>
        </w:rPr>
        <w:t>Offenders Risk &amp; Need Assessment Instruments: A Primer for Courts</w:t>
      </w:r>
      <w:r w:rsidRPr="00BD0018">
        <w:rPr>
          <w:rFonts w:ascii="Times New Roman" w:hAnsi="Times New Roman" w:cs="Times New Roman"/>
          <w:color w:val="000000"/>
          <w:sz w:val="24"/>
          <w:szCs w:val="24"/>
          <w:shd w:val="clear" w:color="auto" w:fill="FFFFFF"/>
        </w:rPr>
        <w:t xml:space="preserve">. Retrieved from </w:t>
      </w:r>
      <w:hyperlink r:id="rId7" w:history="1">
        <w:r w:rsidRPr="00BD0018">
          <w:rPr>
            <w:rStyle w:val="Hyperlink"/>
            <w:rFonts w:ascii="Times New Roman" w:hAnsi="Times New Roman" w:cs="Times New Roman"/>
            <w:sz w:val="24"/>
            <w:szCs w:val="24"/>
            <w:shd w:val="clear" w:color="auto" w:fill="FFFFFF"/>
          </w:rPr>
          <w:t>http://www.ncsc.org</w:t>
        </w:r>
      </w:hyperlink>
      <w:r w:rsidRPr="00BD0018">
        <w:rPr>
          <w:rFonts w:ascii="Times New Roman" w:hAnsi="Times New Roman" w:cs="Times New Roman"/>
          <w:color w:val="000000"/>
          <w:sz w:val="24"/>
          <w:szCs w:val="24"/>
          <w:shd w:val="clear" w:color="auto" w:fill="FFFFFF"/>
        </w:rPr>
        <w:t xml:space="preserve"> </w:t>
      </w:r>
    </w:p>
    <w:p w:rsidR="00BD0018" w:rsidRPr="002440DF" w:rsidRDefault="00BD0018" w:rsidP="00BD0018">
      <w:pPr>
        <w:spacing w:after="0" w:line="480" w:lineRule="auto"/>
        <w:rPr>
          <w:rFonts w:ascii="Times New Roman" w:hAnsi="Times New Roman" w:cs="Times New Roman"/>
          <w:sz w:val="24"/>
          <w:szCs w:val="24"/>
        </w:rPr>
      </w:pPr>
    </w:p>
    <w:p w:rsidR="00BD0018" w:rsidRPr="00BD0018" w:rsidRDefault="00BD0018" w:rsidP="00BD0018">
      <w:pPr>
        <w:spacing w:after="0" w:line="480" w:lineRule="auto"/>
        <w:rPr>
          <w:rFonts w:ascii="Times New Roman" w:hAnsi="Times New Roman" w:cs="Times New Roman"/>
          <w:sz w:val="24"/>
          <w:szCs w:val="24"/>
        </w:rPr>
      </w:pPr>
    </w:p>
    <w:sectPr w:rsidR="00BD0018" w:rsidRPr="00BD0018" w:rsidSect="00D832B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735" w:rsidRDefault="00152735">
      <w:pPr>
        <w:spacing w:after="0" w:line="240" w:lineRule="auto"/>
      </w:pPr>
      <w:r>
        <w:separator/>
      </w:r>
    </w:p>
  </w:endnote>
  <w:endnote w:type="continuationSeparator" w:id="0">
    <w:p w:rsidR="00152735" w:rsidRDefault="00152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735" w:rsidRDefault="00152735">
      <w:pPr>
        <w:spacing w:after="0" w:line="240" w:lineRule="auto"/>
      </w:pPr>
      <w:r>
        <w:separator/>
      </w:r>
    </w:p>
  </w:footnote>
  <w:footnote w:type="continuationSeparator" w:id="0">
    <w:p w:rsidR="00152735" w:rsidRDefault="001527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6B6" w:rsidRPr="00D95983" w:rsidRDefault="00191609" w:rsidP="00D95983">
    <w:pPr>
      <w:pStyle w:val="Header"/>
      <w:spacing w:line="480" w:lineRule="auto"/>
      <w:rPr>
        <w:rFonts w:ascii="Times New Roman" w:hAnsi="Times New Roman" w:cs="Times New Roman"/>
        <w:sz w:val="24"/>
        <w:szCs w:val="24"/>
      </w:rPr>
    </w:pPr>
    <w:r w:rsidRPr="00D95983">
      <w:rPr>
        <w:rFonts w:ascii="Times New Roman" w:hAnsi="Times New Roman" w:cs="Times New Roman"/>
        <w:sz w:val="24"/>
        <w:szCs w:val="24"/>
      </w:rPr>
      <w:t>RISK ASSESSMENT IN CORRECTIONS</w:t>
    </w:r>
    <w:sdt>
      <w:sdtPr>
        <w:rPr>
          <w:rFonts w:ascii="Times New Roman" w:hAnsi="Times New Roman" w:cs="Times New Roman"/>
          <w:sz w:val="24"/>
          <w:szCs w:val="24"/>
        </w:rPr>
        <w:id w:val="18304890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D95983">
          <w:rPr>
            <w:rFonts w:ascii="Times New Roman" w:hAnsi="Times New Roman" w:cs="Times New Roman"/>
            <w:sz w:val="24"/>
            <w:szCs w:val="24"/>
          </w:rPr>
          <w:fldChar w:fldCharType="begin"/>
        </w:r>
        <w:r w:rsidRPr="00D95983">
          <w:rPr>
            <w:rFonts w:ascii="Times New Roman" w:hAnsi="Times New Roman" w:cs="Times New Roman"/>
            <w:sz w:val="24"/>
            <w:szCs w:val="24"/>
          </w:rPr>
          <w:instrText xml:space="preserve"> PAGE   \* MERGEFORMAT </w:instrText>
        </w:r>
        <w:r w:rsidRPr="00D95983">
          <w:rPr>
            <w:rFonts w:ascii="Times New Roman" w:hAnsi="Times New Roman" w:cs="Times New Roman"/>
            <w:sz w:val="24"/>
            <w:szCs w:val="24"/>
          </w:rPr>
          <w:fldChar w:fldCharType="separate"/>
        </w:r>
        <w:r w:rsidR="00143662">
          <w:rPr>
            <w:rFonts w:ascii="Times New Roman" w:hAnsi="Times New Roman" w:cs="Times New Roman"/>
            <w:noProof/>
            <w:sz w:val="24"/>
            <w:szCs w:val="24"/>
          </w:rPr>
          <w:t>6</w:t>
        </w:r>
        <w:r w:rsidRPr="00D95983">
          <w:rPr>
            <w:rFonts w:ascii="Times New Roman" w:hAnsi="Times New Roman" w:cs="Times New Roman"/>
            <w:noProof/>
            <w:sz w:val="24"/>
            <w:szCs w:val="24"/>
          </w:rPr>
          <w:fldChar w:fldCharType="end"/>
        </w:r>
      </w:sdtContent>
    </w:sdt>
  </w:p>
  <w:p w:rsidR="00AC16B6" w:rsidRDefault="00AC16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6B6" w:rsidRPr="00D832BB" w:rsidRDefault="00191609" w:rsidP="00D832BB">
    <w:pPr>
      <w:pStyle w:val="Header"/>
      <w:spacing w:line="480" w:lineRule="auto"/>
      <w:rPr>
        <w:rFonts w:ascii="Times New Roman" w:hAnsi="Times New Roman" w:cs="Times New Roman"/>
        <w:sz w:val="24"/>
        <w:szCs w:val="24"/>
      </w:rPr>
    </w:pPr>
    <w:r w:rsidRPr="00D832BB">
      <w:rPr>
        <w:rFonts w:ascii="Times New Roman" w:hAnsi="Times New Roman" w:cs="Times New Roman"/>
        <w:sz w:val="24"/>
        <w:szCs w:val="24"/>
      </w:rPr>
      <w:t>Running head: RISK ASSESSMENT IN CORRECTIONS</w:t>
    </w:r>
    <w:sdt>
      <w:sdtPr>
        <w:rPr>
          <w:rFonts w:ascii="Times New Roman" w:hAnsi="Times New Roman" w:cs="Times New Roman"/>
          <w:sz w:val="24"/>
          <w:szCs w:val="24"/>
        </w:rPr>
        <w:id w:val="274451141"/>
        <w:docPartObj>
          <w:docPartGallery w:val="Page Numbers (Top of Page)"/>
          <w:docPartUnique/>
        </w:docPartObj>
      </w:sdtPr>
      <w:sdtEndPr>
        <w:rPr>
          <w:noProof/>
        </w:rPr>
      </w:sdtEndPr>
      <w:sdtContent>
        <w:r>
          <w:rPr>
            <w:rFonts w:ascii="Times New Roman" w:hAnsi="Times New Roman" w:cs="Times New Roman"/>
            <w:sz w:val="24"/>
            <w:szCs w:val="24"/>
          </w:rPr>
          <w:tab/>
        </w:r>
        <w:r w:rsidRPr="00D832BB">
          <w:rPr>
            <w:rFonts w:ascii="Times New Roman" w:hAnsi="Times New Roman" w:cs="Times New Roman"/>
            <w:sz w:val="24"/>
            <w:szCs w:val="24"/>
          </w:rPr>
          <w:fldChar w:fldCharType="begin"/>
        </w:r>
        <w:r w:rsidRPr="00D832BB">
          <w:rPr>
            <w:rFonts w:ascii="Times New Roman" w:hAnsi="Times New Roman" w:cs="Times New Roman"/>
            <w:sz w:val="24"/>
            <w:szCs w:val="24"/>
          </w:rPr>
          <w:instrText xml:space="preserve"> PAGE   \* MERGEFORMAT </w:instrText>
        </w:r>
        <w:r w:rsidRPr="00D832BB">
          <w:rPr>
            <w:rFonts w:ascii="Times New Roman" w:hAnsi="Times New Roman" w:cs="Times New Roman"/>
            <w:sz w:val="24"/>
            <w:szCs w:val="24"/>
          </w:rPr>
          <w:fldChar w:fldCharType="separate"/>
        </w:r>
        <w:r w:rsidR="00143662">
          <w:rPr>
            <w:rFonts w:ascii="Times New Roman" w:hAnsi="Times New Roman" w:cs="Times New Roman"/>
            <w:noProof/>
            <w:sz w:val="24"/>
            <w:szCs w:val="24"/>
          </w:rPr>
          <w:t>1</w:t>
        </w:r>
        <w:r w:rsidRPr="00D832BB">
          <w:rPr>
            <w:rFonts w:ascii="Times New Roman" w:hAnsi="Times New Roman" w:cs="Times New Roman"/>
            <w:noProof/>
            <w:sz w:val="24"/>
            <w:szCs w:val="24"/>
          </w:rPr>
          <w:fldChar w:fldCharType="end"/>
        </w:r>
      </w:sdtContent>
    </w:sdt>
  </w:p>
  <w:p w:rsidR="00AC16B6" w:rsidRDefault="00AC16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2BB"/>
    <w:rsid w:val="000F66B0"/>
    <w:rsid w:val="00122895"/>
    <w:rsid w:val="00143662"/>
    <w:rsid w:val="00152735"/>
    <w:rsid w:val="00191609"/>
    <w:rsid w:val="002278BB"/>
    <w:rsid w:val="002440DF"/>
    <w:rsid w:val="00482B5F"/>
    <w:rsid w:val="004B1C15"/>
    <w:rsid w:val="0054161B"/>
    <w:rsid w:val="00543A8F"/>
    <w:rsid w:val="005A4B1B"/>
    <w:rsid w:val="0093168F"/>
    <w:rsid w:val="00A42357"/>
    <w:rsid w:val="00A74685"/>
    <w:rsid w:val="00A84838"/>
    <w:rsid w:val="00A8790C"/>
    <w:rsid w:val="00A91F0E"/>
    <w:rsid w:val="00AC16B6"/>
    <w:rsid w:val="00AD01B2"/>
    <w:rsid w:val="00BD0018"/>
    <w:rsid w:val="00CC780B"/>
    <w:rsid w:val="00D832BB"/>
    <w:rsid w:val="00D95983"/>
    <w:rsid w:val="00DE1C44"/>
    <w:rsid w:val="00E15D07"/>
    <w:rsid w:val="00E4156F"/>
    <w:rsid w:val="00EB305E"/>
    <w:rsid w:val="00F75F7F"/>
    <w:rsid w:val="00F850DF"/>
    <w:rsid w:val="00F876CE"/>
    <w:rsid w:val="00F9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2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2BB"/>
  </w:style>
  <w:style w:type="paragraph" w:styleId="Footer">
    <w:name w:val="footer"/>
    <w:basedOn w:val="Normal"/>
    <w:link w:val="FooterChar"/>
    <w:uiPriority w:val="99"/>
    <w:unhideWhenUsed/>
    <w:rsid w:val="00D83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2BB"/>
  </w:style>
  <w:style w:type="paragraph" w:styleId="BalloonText">
    <w:name w:val="Balloon Text"/>
    <w:basedOn w:val="Normal"/>
    <w:link w:val="BalloonTextChar"/>
    <w:uiPriority w:val="99"/>
    <w:semiHidden/>
    <w:unhideWhenUsed/>
    <w:rsid w:val="00D83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2BB"/>
    <w:rPr>
      <w:rFonts w:ascii="Tahoma" w:hAnsi="Tahoma" w:cs="Tahoma"/>
      <w:sz w:val="16"/>
      <w:szCs w:val="16"/>
    </w:rPr>
  </w:style>
  <w:style w:type="character" w:styleId="Hyperlink">
    <w:name w:val="Hyperlink"/>
    <w:basedOn w:val="DefaultParagraphFont"/>
    <w:uiPriority w:val="99"/>
    <w:unhideWhenUsed/>
    <w:rsid w:val="00BD001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2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2BB"/>
  </w:style>
  <w:style w:type="paragraph" w:styleId="Footer">
    <w:name w:val="footer"/>
    <w:basedOn w:val="Normal"/>
    <w:link w:val="FooterChar"/>
    <w:uiPriority w:val="99"/>
    <w:unhideWhenUsed/>
    <w:rsid w:val="00D83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2BB"/>
  </w:style>
  <w:style w:type="paragraph" w:styleId="BalloonText">
    <w:name w:val="Balloon Text"/>
    <w:basedOn w:val="Normal"/>
    <w:link w:val="BalloonTextChar"/>
    <w:uiPriority w:val="99"/>
    <w:semiHidden/>
    <w:unhideWhenUsed/>
    <w:rsid w:val="00D832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2BB"/>
    <w:rPr>
      <w:rFonts w:ascii="Tahoma" w:hAnsi="Tahoma" w:cs="Tahoma"/>
      <w:sz w:val="16"/>
      <w:szCs w:val="16"/>
    </w:rPr>
  </w:style>
  <w:style w:type="character" w:styleId="Hyperlink">
    <w:name w:val="Hyperlink"/>
    <w:basedOn w:val="DefaultParagraphFont"/>
    <w:uiPriority w:val="99"/>
    <w:unhideWhenUsed/>
    <w:rsid w:val="00BD00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csc.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2019-10-31T19:21:00Z</dcterms:created>
  <dcterms:modified xsi:type="dcterms:W3CDTF">2019-10-31T19:21:00Z</dcterms:modified>
</cp:coreProperties>
</file>