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33C35" w:rsidP="00333C35">
      <w:pPr>
        <w:jc w:val="center"/>
        <w:rPr>
          <w:b/>
          <w:sz w:val="24"/>
          <w:szCs w:val="24"/>
        </w:rPr>
      </w:pPr>
      <w:bookmarkStart w:id="0" w:name="_GoBack"/>
      <w:bookmarkEnd w:id="0"/>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P="00333C35">
      <w:pPr>
        <w:jc w:val="center"/>
        <w:rPr>
          <w:b/>
          <w:sz w:val="24"/>
          <w:szCs w:val="24"/>
        </w:rPr>
      </w:pPr>
    </w:p>
    <w:p w:rsidR="00333C35" w:rsidRPr="00333C35" w:rsidP="00333C35">
      <w:pPr>
        <w:jc w:val="center"/>
        <w:rPr>
          <w:sz w:val="24"/>
          <w:szCs w:val="24"/>
        </w:rPr>
      </w:pPr>
      <w:r w:rsidRPr="00333C35">
        <w:rPr>
          <w:sz w:val="24"/>
          <w:szCs w:val="24"/>
        </w:rPr>
        <w:t>Student Name</w:t>
      </w:r>
    </w:p>
    <w:p w:rsidR="00333C35" w:rsidRPr="00333C35" w:rsidP="00333C35">
      <w:pPr>
        <w:jc w:val="center"/>
        <w:rPr>
          <w:sz w:val="24"/>
          <w:szCs w:val="24"/>
        </w:rPr>
      </w:pPr>
      <w:r w:rsidRPr="00333C35">
        <w:rPr>
          <w:sz w:val="24"/>
          <w:szCs w:val="24"/>
        </w:rPr>
        <w:t>Instructors Name</w:t>
      </w:r>
    </w:p>
    <w:p w:rsidR="00333C35" w:rsidRPr="00333C35" w:rsidP="00333C35">
      <w:pPr>
        <w:jc w:val="center"/>
        <w:rPr>
          <w:sz w:val="24"/>
          <w:szCs w:val="24"/>
        </w:rPr>
      </w:pPr>
      <w:r w:rsidRPr="00333C35">
        <w:rPr>
          <w:sz w:val="24"/>
          <w:szCs w:val="24"/>
        </w:rPr>
        <w:t>Course Title</w:t>
      </w:r>
    </w:p>
    <w:p w:rsidR="00333C35" w:rsidP="00333C35">
      <w:pPr>
        <w:jc w:val="center"/>
        <w:rPr>
          <w:rFonts w:ascii="Times New Roman" w:eastAsia="Times New Roman" w:hAnsi="Times New Roman" w:cs="Times New Roman"/>
          <w:bCs/>
          <w:kern w:val="36"/>
          <w:sz w:val="24"/>
          <w:szCs w:val="24"/>
        </w:rPr>
      </w:pPr>
      <w:r w:rsidRPr="00333C35">
        <w:rPr>
          <w:sz w:val="24"/>
          <w:szCs w:val="24"/>
        </w:rPr>
        <w:t xml:space="preserve">Date </w:t>
      </w:r>
      <w:r>
        <w:rPr>
          <w:b/>
          <w:sz w:val="24"/>
          <w:szCs w:val="24"/>
        </w:rPr>
        <w:br w:type="page"/>
      </w:r>
    </w:p>
    <w:p w:rsidR="003C7823" w:rsidRPr="000C4406" w:rsidP="000C4406">
      <w:pPr>
        <w:pStyle w:val="Heading1"/>
        <w:spacing w:before="0" w:beforeAutospacing="0" w:after="0" w:afterAutospacing="0" w:line="480" w:lineRule="auto"/>
        <w:ind w:firstLine="720"/>
        <w:rPr>
          <w:b w:val="0"/>
          <w:sz w:val="24"/>
          <w:szCs w:val="24"/>
        </w:rPr>
      </w:pPr>
      <w:r w:rsidRPr="000C4406">
        <w:rPr>
          <w:b w:val="0"/>
          <w:sz w:val="24"/>
          <w:szCs w:val="24"/>
        </w:rPr>
        <w:t xml:space="preserve">Competence in the </w:t>
      </w:r>
      <w:r w:rsidRPr="000C4406">
        <w:rPr>
          <w:b w:val="0"/>
          <w:sz w:val="24"/>
          <w:szCs w:val="24"/>
        </w:rPr>
        <w:t>accountant's</w:t>
      </w:r>
      <w:r w:rsidRPr="000C4406">
        <w:rPr>
          <w:b w:val="0"/>
          <w:sz w:val="24"/>
          <w:szCs w:val="24"/>
        </w:rPr>
        <w:t xml:space="preserve"> field helps the accountants to be able to make decisions that affect the firms positively, and therefore more revenue generation assurance. For example, in the article, "The strategic competence of accountants and middle managers in budget making" By Faure and Linda, the authors attempt to investigate how this essential ethics helps the accountants to make budgets that give out positive inputs to the firms</w:t>
      </w:r>
      <w:sdt>
        <w:sdtPr>
          <w:rPr>
            <w:b w:val="0"/>
            <w:sz w:val="24"/>
            <w:szCs w:val="24"/>
          </w:rPr>
          <w:id w:val="-1523695491"/>
          <w:citation/>
        </w:sdtPr>
        <w:sdtContent>
          <w:r w:rsidRPr="000C4406" w:rsidR="00C208A2">
            <w:rPr>
              <w:b w:val="0"/>
              <w:sz w:val="24"/>
              <w:szCs w:val="24"/>
            </w:rPr>
            <w:fldChar w:fldCharType="begin"/>
          </w:r>
          <w:r w:rsidRPr="000C4406" w:rsidR="00C208A2">
            <w:rPr>
              <w:b w:val="0"/>
              <w:sz w:val="24"/>
              <w:szCs w:val="24"/>
            </w:rPr>
            <w:instrText xml:space="preserve"> CITATION Lin11 \l 1033 </w:instrText>
          </w:r>
          <w:r w:rsidRPr="000C4406" w:rsidR="00C208A2">
            <w:rPr>
              <w:b w:val="0"/>
              <w:sz w:val="24"/>
              <w:szCs w:val="24"/>
            </w:rPr>
            <w:fldChar w:fldCharType="separate"/>
          </w:r>
          <w:r w:rsidRPr="000C4406" w:rsidR="000C4406">
            <w:rPr>
              <w:b w:val="0"/>
              <w:noProof/>
              <w:sz w:val="24"/>
              <w:szCs w:val="24"/>
            </w:rPr>
            <w:t xml:space="preserve"> (Linda &amp; Faure, 2011)</w:t>
          </w:r>
          <w:r w:rsidRPr="000C4406" w:rsidR="00C208A2">
            <w:rPr>
              <w:b w:val="0"/>
              <w:sz w:val="24"/>
              <w:szCs w:val="24"/>
            </w:rPr>
            <w:fldChar w:fldCharType="end"/>
          </w:r>
        </w:sdtContent>
      </w:sdt>
      <w:r w:rsidRPr="000C4406">
        <w:rPr>
          <w:b w:val="0"/>
          <w:sz w:val="24"/>
          <w:szCs w:val="24"/>
        </w:rPr>
        <w:t xml:space="preserve">. The </w:t>
      </w:r>
      <w:r w:rsidRPr="000C4406">
        <w:rPr>
          <w:b w:val="0"/>
          <w:sz w:val="24"/>
          <w:szCs w:val="24"/>
        </w:rPr>
        <w:t>article investigate</w:t>
      </w:r>
      <w:r w:rsidRPr="000C4406">
        <w:rPr>
          <w:b w:val="0"/>
          <w:sz w:val="24"/>
          <w:szCs w:val="24"/>
        </w:rPr>
        <w:t>s some budgets conversations of different firms, by different accountants, that were collected in the research field studies. It essentially draws insights into the macro-p</w:t>
      </w:r>
      <w:r w:rsidRPr="000C4406">
        <w:rPr>
          <w:b w:val="0"/>
          <w:sz w:val="24"/>
          <w:szCs w:val="24"/>
        </w:rPr>
        <w:t xml:space="preserve">ractices of calculations by the accountants, and </w:t>
      </w:r>
      <w:r w:rsidRPr="000C4406" w:rsidR="00C208A2">
        <w:rPr>
          <w:b w:val="0"/>
          <w:sz w:val="24"/>
          <w:szCs w:val="24"/>
        </w:rPr>
        <w:t>therefore</w:t>
      </w:r>
      <w:r w:rsidRPr="000C4406">
        <w:rPr>
          <w:b w:val="0"/>
          <w:sz w:val="24"/>
          <w:szCs w:val="24"/>
        </w:rPr>
        <w:t xml:space="preserve"> attempting to invoke the essence of numbers in the </w:t>
      </w:r>
      <w:r w:rsidRPr="000C4406" w:rsidR="00C208A2">
        <w:rPr>
          <w:b w:val="0"/>
          <w:sz w:val="24"/>
          <w:szCs w:val="24"/>
        </w:rPr>
        <w:t>achievements</w:t>
      </w:r>
      <w:r w:rsidRPr="000C4406">
        <w:rPr>
          <w:b w:val="0"/>
          <w:sz w:val="24"/>
          <w:szCs w:val="24"/>
        </w:rPr>
        <w:t xml:space="preserve"> of the projects that they have. They also </w:t>
      </w:r>
      <w:r w:rsidRPr="000C4406">
        <w:rPr>
          <w:b w:val="0"/>
          <w:sz w:val="24"/>
          <w:szCs w:val="24"/>
        </w:rPr>
        <w:t>investigate</w:t>
      </w:r>
      <w:r w:rsidRPr="000C4406">
        <w:rPr>
          <w:b w:val="0"/>
          <w:sz w:val="24"/>
          <w:szCs w:val="24"/>
        </w:rPr>
        <w:t xml:space="preserve"> the influences that numbers competence of a specific accountant have in the general local contingencies of the accountants, or the global coherence of an accountant in the same context. They ultimately generate the results that competence acts as a crown to the accountants, and based on this, they can be judged, and their credibility placed to test. 
</w:t>
      </w:r>
    </w:p>
    <w:p w:rsidR="00333C35" w:rsidP="000C4406">
      <w:pPr>
        <w:pStyle w:val="Heading1"/>
        <w:spacing w:before="0" w:beforeAutospacing="0" w:after="0" w:afterAutospacing="0" w:line="480" w:lineRule="auto"/>
        <w:ind w:firstLine="720"/>
        <w:rPr>
          <w:b w:val="0"/>
          <w:sz w:val="24"/>
          <w:szCs w:val="24"/>
        </w:rPr>
      </w:pPr>
      <w:r w:rsidRPr="000C4406">
        <w:rPr>
          <w:b w:val="0"/>
          <w:sz w:val="24"/>
          <w:szCs w:val="24"/>
        </w:rPr>
        <w:t xml:space="preserve">Competence, therefore, is a very critical factor to the accountants, based on the ability to generate revenue for a firm.  The competence factor is used by the accountants in general, invoking the use of numbers, and as a result, be able to have a construct of the numbers. With this, the business can always make advances and increase the revenue it generates. Moreover, competent accountants have the </w:t>
      </w:r>
      <w:r w:rsidRPr="000C4406" w:rsidR="00C208A2">
        <w:rPr>
          <w:b w:val="0"/>
          <w:sz w:val="24"/>
          <w:szCs w:val="24"/>
        </w:rPr>
        <w:t>ability to constructs acceptable numbers on plans and goals; therefore, they help the business ventures acquire investors, as they are able to elaborate the constraints of the number without much setbacks or failures. It also avails the ease of decision making in a business venture, as the numbers have the specifications of the inputs and the outputs that are needed to succeed, making it very easy to calculate the risks in relation to the expected outputs. 
</w:t>
      </w:r>
    </w:p>
    <w:p w:rsidR="00333C35">
      <w:pPr>
        <w:rPr>
          <w:rFonts w:ascii="Times New Roman" w:eastAsia="Times New Roman" w:hAnsi="Times New Roman" w:cs="Times New Roman"/>
          <w:bCs/>
          <w:kern w:val="36"/>
          <w:sz w:val="24"/>
          <w:szCs w:val="24"/>
        </w:rPr>
      </w:pPr>
      <w:r>
        <w:rPr>
          <w:b/>
          <w:sz w:val="24"/>
          <w:szCs w:val="24"/>
        </w:rPr>
        <w:br w:type="page"/>
      </w:r>
    </w:p>
    <w:p w:rsidR="00333C35" w:rsidP="00333C35">
      <w:pPr>
        <w:pStyle w:val="Heading1"/>
        <w:spacing w:before="0" w:beforeAutospacing="0" w:after="0" w:afterAutospacing="0" w:line="480" w:lineRule="auto"/>
        <w:ind w:firstLine="720"/>
        <w:jc w:val="center"/>
        <w:rPr>
          <w:b w:val="0"/>
          <w:sz w:val="24"/>
          <w:szCs w:val="24"/>
        </w:rPr>
      </w:pPr>
      <w:r>
        <w:rPr>
          <w:b w:val="0"/>
          <w:sz w:val="24"/>
          <w:szCs w:val="24"/>
        </w:rPr>
        <w:t>Reference</w:t>
      </w:r>
    </w:p>
    <w:p w:rsidR="00333C35" w:rsidP="00333C35">
      <w:pPr>
        <w:pStyle w:val="Bibliography"/>
        <w:ind w:left="720" w:hanging="720"/>
        <w:rPr>
          <w:noProof/>
        </w:rPr>
      </w:pPr>
      <w:r>
        <w:rPr>
          <w:b/>
          <w:sz w:val="24"/>
          <w:szCs w:val="24"/>
        </w:rPr>
        <w:fldChar w:fldCharType="begin"/>
      </w:r>
      <w:r>
        <w:rPr>
          <w:b/>
          <w:sz w:val="24"/>
          <w:szCs w:val="24"/>
        </w:rPr>
        <w:instrText xml:space="preserve"> BIBLIOGRAPHY  \l 1033 </w:instrText>
      </w:r>
      <w:r>
        <w:rPr>
          <w:b/>
          <w:sz w:val="24"/>
          <w:szCs w:val="24"/>
        </w:rPr>
        <w:fldChar w:fldCharType="separate"/>
      </w:r>
      <w:r>
        <w:rPr>
          <w:noProof/>
        </w:rPr>
        <w:t xml:space="preserve">Linda, R., &amp; Faure, B. (2011). The strategic competence of accountants and middle managers in budget making. </w:t>
      </w:r>
      <w:r>
        <w:rPr>
          <w:i/>
          <w:iCs/>
          <w:noProof/>
        </w:rPr>
        <w:t>Accounting, Organizations and Society</w:t>
      </w:r>
      <w:r>
        <w:rPr>
          <w:noProof/>
        </w:rPr>
        <w:t>, 167-184.</w:t>
      </w:r>
    </w:p>
    <w:p w:rsidR="00333C35" w:rsidRPr="000C4406" w:rsidP="00333C35">
      <w:pPr>
        <w:pStyle w:val="Heading1"/>
        <w:spacing w:before="0" w:beforeAutospacing="0" w:after="0" w:afterAutospacing="0" w:line="480" w:lineRule="auto"/>
        <w:ind w:firstLine="720"/>
        <w:rPr>
          <w:b w:val="0"/>
          <w:sz w:val="24"/>
          <w:szCs w:val="24"/>
        </w:rPr>
      </w:pPr>
      <w:r>
        <w:rPr>
          <w:b w:val="0"/>
          <w:sz w:val="24"/>
          <w:szCs w:val="24"/>
        </w:rPr>
        <w:fldChar w:fldCharType="end"/>
      </w:r>
    </w:p>
    <w:sectPr w:rsidSect="00333C3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C35" w:rsidP="00333C35">
    <w:pPr>
      <w:pStyle w:val="Header"/>
    </w:pPr>
    <w:r>
      <w:t xml:space="preserve">COMPETENCE </w:t>
    </w:r>
    <w:r>
      <w:tab/>
    </w:r>
    <w:r>
      <w:tab/>
    </w:r>
    <w:r>
      <w:fldChar w:fldCharType="begin"/>
    </w:r>
    <w:r>
      <w:instrText xml:space="preserve"> PAGE   \* MERGEFORMAT </w:instrText>
    </w:r>
    <w:r>
      <w:fldChar w:fldCharType="separate"/>
    </w:r>
    <w:r>
      <w:rPr>
        <w:noProof/>
      </w:rPr>
      <w:t>2</w:t>
    </w:r>
    <w:r>
      <w:rPr>
        <w:noProof/>
      </w:rPr>
      <w:fldChar w:fldCharType="end"/>
    </w:r>
  </w:p>
  <w:p w:rsidR="00333C35" w:rsidRPr="00333C35" w:rsidP="00333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C35" w:rsidP="00333C35">
    <w:pPr>
      <w:pStyle w:val="Header"/>
    </w:pPr>
    <w:r>
      <w:t xml:space="preserve">Running head; </w:t>
    </w:r>
    <w:r>
      <w:t xml:space="preserve">COMPETENCE </w:t>
    </w:r>
    <w:r>
      <w:tab/>
    </w:r>
    <w:r>
      <w:tab/>
    </w:r>
    <w:r>
      <w:fldChar w:fldCharType="begin"/>
    </w:r>
    <w:r>
      <w:instrText xml:space="preserve"> PAGE   \* MERGEFORMAT </w:instrText>
    </w:r>
    <w:r>
      <w:fldChar w:fldCharType="separate"/>
    </w:r>
    <w:r>
      <w:rPr>
        <w:noProof/>
      </w:rPr>
      <w:t>1</w:t>
    </w:r>
    <w:r>
      <w:rPr>
        <w:noProof/>
      </w:rPr>
      <w:fldChar w:fldCharType="end"/>
    </w:r>
  </w:p>
  <w:p w:rsidR="00333C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36F"/>
    <w:rsid w:val="000C4406"/>
    <w:rsid w:val="00333C35"/>
    <w:rsid w:val="003C7823"/>
    <w:rsid w:val="00427655"/>
    <w:rsid w:val="00766E44"/>
    <w:rsid w:val="009C236F"/>
    <w:rsid w:val="00C208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23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36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9C236F"/>
  </w:style>
  <w:style w:type="paragraph" w:styleId="BalloonText">
    <w:name w:val="Balloon Text"/>
    <w:basedOn w:val="Normal"/>
    <w:link w:val="BalloonTextChar"/>
    <w:uiPriority w:val="99"/>
    <w:semiHidden/>
    <w:unhideWhenUsed/>
    <w:rsid w:val="00C20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8A2"/>
    <w:rPr>
      <w:rFonts w:ascii="Tahoma" w:hAnsi="Tahoma" w:cs="Tahoma"/>
      <w:sz w:val="16"/>
      <w:szCs w:val="16"/>
    </w:rPr>
  </w:style>
  <w:style w:type="paragraph" w:styleId="Header">
    <w:name w:val="header"/>
    <w:basedOn w:val="Normal"/>
    <w:link w:val="HeaderChar"/>
    <w:uiPriority w:val="99"/>
    <w:unhideWhenUsed/>
    <w:rsid w:val="00333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35"/>
  </w:style>
  <w:style w:type="paragraph" w:styleId="Footer">
    <w:name w:val="footer"/>
    <w:basedOn w:val="Normal"/>
    <w:link w:val="FooterChar"/>
    <w:uiPriority w:val="99"/>
    <w:unhideWhenUsed/>
    <w:rsid w:val="00333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35"/>
  </w:style>
  <w:style w:type="paragraph" w:styleId="Bibliography">
    <w:name w:val="Bibliography"/>
    <w:basedOn w:val="Normal"/>
    <w:next w:val="Normal"/>
    <w:uiPriority w:val="37"/>
    <w:unhideWhenUsed/>
    <w:rsid w:val="00333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Lin11</b:Tag>
    <b:SourceType>JournalArticle</b:SourceType>
    <b:Guid>{6C3F01EC-60B6-485B-A1D1-056A5724FBE2}</b:Guid>
    <b:Author>
      <b:Author>
        <b:NameList>
          <b:Person>
            <b:Last>Linda</b:Last>
            <b:First>R</b:First>
          </b:Person>
          <b:Person>
            <b:Last>Faure</b:Last>
            <b:First>B</b:First>
          </b:Person>
        </b:NameList>
      </b:Author>
    </b:Author>
    <b:Title>The strategic competence of accountants and middle managers in budget making</b:Title>
    <b:JournalName>Accounting, Organizations and Society</b:JournalName>
    <b:Year>2011</b:Year>
    <b:Pages>167-184</b:Pages>
    <b:RefOrder>1</b:RefOrder>
  </b:Source>
</b:Sources>
</file>

<file path=customXml/itemProps1.xml><?xml version="1.0" encoding="utf-8"?>
<ds:datastoreItem xmlns:ds="http://schemas.openxmlformats.org/officeDocument/2006/customXml" ds:itemID="{2D230D3F-47A9-4085-A55B-F4B1F1FA3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2020-09-24T01:44:00Z</dcterms:created>
  <dcterms:modified xsi:type="dcterms:W3CDTF">2020-09-24T02:42:00Z</dcterms:modified>
</cp:coreProperties>
</file>