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0831E" w14:textId="77777777" w:rsidR="00ED1F90" w:rsidRPr="00193A86" w:rsidRDefault="00ED1F90" w:rsidP="00193A86">
      <w:pPr>
        <w:spacing w:after="0"/>
        <w:jc w:val="center"/>
      </w:pPr>
    </w:p>
    <w:p w14:paraId="7C11195C" w14:textId="77777777" w:rsidR="00ED1F90" w:rsidRPr="00193A86" w:rsidRDefault="00ED1F90" w:rsidP="00193A86">
      <w:pPr>
        <w:spacing w:after="0"/>
        <w:jc w:val="center"/>
      </w:pPr>
    </w:p>
    <w:p w14:paraId="1A3918AC" w14:textId="2013E24E" w:rsidR="00ED1F90" w:rsidRDefault="00ED1F90" w:rsidP="00193A86">
      <w:pPr>
        <w:spacing w:after="0"/>
        <w:jc w:val="center"/>
      </w:pPr>
    </w:p>
    <w:p w14:paraId="35DD8BFA" w14:textId="0F4FC4CC" w:rsidR="00193A86" w:rsidRDefault="00193A86" w:rsidP="00193A86">
      <w:pPr>
        <w:spacing w:after="0"/>
        <w:jc w:val="center"/>
      </w:pPr>
    </w:p>
    <w:p w14:paraId="023D8AD3" w14:textId="77777777" w:rsidR="00193A86" w:rsidRPr="00193A86" w:rsidRDefault="00193A86" w:rsidP="00193A86">
      <w:pPr>
        <w:spacing w:after="0"/>
        <w:jc w:val="center"/>
      </w:pPr>
    </w:p>
    <w:p w14:paraId="55F501C9" w14:textId="1FBBE68F" w:rsidR="00ED1F90" w:rsidRPr="00193A86" w:rsidRDefault="00ED1F90" w:rsidP="00193A86">
      <w:pPr>
        <w:spacing w:after="0"/>
        <w:jc w:val="center"/>
      </w:pPr>
      <w:r w:rsidRPr="00193A86">
        <w:rPr>
          <w:rStyle w:val="Strong"/>
          <w:color w:val="0E101A"/>
        </w:rPr>
        <w:t>Contracting Process</w:t>
      </w:r>
    </w:p>
    <w:p w14:paraId="38DE23E8" w14:textId="77777777" w:rsidR="00ED1F90" w:rsidRPr="00193A86" w:rsidRDefault="00ED1F90" w:rsidP="00193A86">
      <w:pPr>
        <w:spacing w:after="0"/>
        <w:jc w:val="center"/>
      </w:pPr>
    </w:p>
    <w:p w14:paraId="1ABD5C47" w14:textId="4E9E845E" w:rsidR="00D333C9" w:rsidRPr="00193A86" w:rsidRDefault="00D333C9" w:rsidP="00193A86">
      <w:pPr>
        <w:spacing w:after="0"/>
        <w:jc w:val="center"/>
      </w:pPr>
      <w:r w:rsidRPr="00193A86">
        <w:t>Student</w:t>
      </w:r>
      <w:r w:rsidR="00ED1F90" w:rsidRPr="00193A86">
        <w:t>’s Name</w:t>
      </w:r>
    </w:p>
    <w:p w14:paraId="6D89DF11" w14:textId="4F90B6BC" w:rsidR="00D333C9" w:rsidRPr="00193A86" w:rsidRDefault="00ED1F90" w:rsidP="00193A86">
      <w:pPr>
        <w:spacing w:after="0"/>
        <w:jc w:val="center"/>
      </w:pPr>
      <w:r w:rsidRPr="00193A86">
        <w:t xml:space="preserve">Institutional </w:t>
      </w:r>
      <w:r w:rsidR="00D333C9" w:rsidRPr="00193A86">
        <w:t>Affiliation</w:t>
      </w:r>
    </w:p>
    <w:p w14:paraId="270E3915" w14:textId="097CDE67" w:rsidR="00ED1F90" w:rsidRPr="00193A86" w:rsidRDefault="00ED1F90" w:rsidP="00193A86">
      <w:pPr>
        <w:spacing w:after="0"/>
        <w:jc w:val="center"/>
      </w:pPr>
      <w:r w:rsidRPr="00193A86">
        <w:t>Professor</w:t>
      </w:r>
    </w:p>
    <w:p w14:paraId="5D3F6FC2" w14:textId="7DBF1825" w:rsidR="00D333C9" w:rsidRPr="00193A86" w:rsidRDefault="00D333C9" w:rsidP="00193A86">
      <w:pPr>
        <w:spacing w:after="0"/>
        <w:jc w:val="center"/>
      </w:pPr>
      <w:r w:rsidRPr="00193A86">
        <w:t>Course</w:t>
      </w:r>
    </w:p>
    <w:p w14:paraId="65AF448F" w14:textId="77777777" w:rsidR="00D333C9" w:rsidRPr="00193A86" w:rsidRDefault="00D333C9" w:rsidP="00193A86">
      <w:pPr>
        <w:spacing w:after="0"/>
        <w:jc w:val="center"/>
      </w:pPr>
      <w:r w:rsidRPr="00193A86">
        <w:t>Date</w:t>
      </w:r>
    </w:p>
    <w:p w14:paraId="0FE60F0C" w14:textId="77777777" w:rsidR="00D333C9" w:rsidRPr="00193A86" w:rsidRDefault="00D333C9" w:rsidP="00193A86">
      <w:pPr>
        <w:spacing w:after="0"/>
        <w:jc w:val="center"/>
      </w:pPr>
    </w:p>
    <w:p w14:paraId="07DC04D2" w14:textId="77777777" w:rsidR="00D333C9" w:rsidRPr="00193A86" w:rsidRDefault="00D333C9" w:rsidP="00193A86">
      <w:pPr>
        <w:spacing w:after="0"/>
        <w:jc w:val="center"/>
      </w:pPr>
    </w:p>
    <w:p w14:paraId="1EB1AE61" w14:textId="77777777" w:rsidR="00D333C9" w:rsidRPr="00193A86" w:rsidRDefault="00D333C9" w:rsidP="00193A86">
      <w:pPr>
        <w:spacing w:after="0"/>
        <w:jc w:val="center"/>
      </w:pPr>
    </w:p>
    <w:p w14:paraId="217B7AA9" w14:textId="77777777" w:rsidR="00D333C9" w:rsidRPr="00193A86" w:rsidRDefault="00D333C9" w:rsidP="00193A86">
      <w:pPr>
        <w:spacing w:after="0"/>
        <w:jc w:val="center"/>
      </w:pPr>
    </w:p>
    <w:p w14:paraId="191D5A72" w14:textId="77777777" w:rsidR="00D333C9" w:rsidRPr="00193A86" w:rsidRDefault="00D333C9" w:rsidP="00193A86">
      <w:pPr>
        <w:spacing w:after="0"/>
        <w:jc w:val="center"/>
      </w:pPr>
    </w:p>
    <w:p w14:paraId="162391F8" w14:textId="77777777" w:rsidR="00D333C9" w:rsidRPr="00193A86" w:rsidRDefault="00D333C9" w:rsidP="00193A86">
      <w:pPr>
        <w:spacing w:after="0"/>
        <w:jc w:val="center"/>
      </w:pPr>
    </w:p>
    <w:p w14:paraId="377A2A74" w14:textId="166CCD3E" w:rsidR="00D333C9" w:rsidRPr="00193A86" w:rsidRDefault="00D333C9" w:rsidP="00193A86">
      <w:pPr>
        <w:spacing w:after="0"/>
      </w:pPr>
    </w:p>
    <w:p w14:paraId="670A835C" w14:textId="0E03636C" w:rsidR="00ED1F90" w:rsidRDefault="00ED1F90" w:rsidP="00193A86">
      <w:pPr>
        <w:spacing w:after="0"/>
      </w:pPr>
    </w:p>
    <w:p w14:paraId="3309E481" w14:textId="1D8FF12C" w:rsidR="00193A86" w:rsidRDefault="00193A86" w:rsidP="00193A86">
      <w:pPr>
        <w:spacing w:after="0"/>
      </w:pPr>
    </w:p>
    <w:p w14:paraId="3623E353" w14:textId="19D4C5CA" w:rsidR="00193A86" w:rsidRDefault="00193A86" w:rsidP="00193A86">
      <w:pPr>
        <w:spacing w:after="0"/>
      </w:pPr>
    </w:p>
    <w:p w14:paraId="12B499AC" w14:textId="77777777" w:rsidR="00193A86" w:rsidRPr="00193A86" w:rsidRDefault="00193A86" w:rsidP="00193A86">
      <w:pPr>
        <w:spacing w:after="0"/>
      </w:pPr>
    </w:p>
    <w:p w14:paraId="64BB7895" w14:textId="77777777" w:rsidR="00D333C9" w:rsidRPr="00193A86" w:rsidRDefault="00D333C9" w:rsidP="00193A86">
      <w:pPr>
        <w:spacing w:after="0"/>
        <w:jc w:val="center"/>
        <w:rPr>
          <w:b/>
          <w:bCs/>
        </w:rPr>
      </w:pPr>
      <w:r w:rsidRPr="00193A86">
        <w:rPr>
          <w:b/>
          <w:bCs/>
        </w:rPr>
        <w:lastRenderedPageBreak/>
        <w:t>Contracting Process</w:t>
      </w:r>
    </w:p>
    <w:p w14:paraId="070DE12C" w14:textId="79FFADE3" w:rsidR="00D333C9" w:rsidRPr="00193A86" w:rsidRDefault="00D333C9" w:rsidP="00193A86">
      <w:pPr>
        <w:spacing w:after="0"/>
        <w:ind w:firstLine="720"/>
      </w:pPr>
      <w:r w:rsidRPr="00193A86">
        <w:t>Procurement basically relates to the structured methods, technics and means used to streamline an organization`s processes of obtaining goods and services, typically for business purpose and achieve desired outcomes while cutting on cost. time saving and building a win-win supplier client relationship. It might take various form by being direct, indirect, reactive or proactive and service procurement. Procurement extends to various facets of an organization and as a consequence it is conducted through various processes, these steps are crucial to get goods and services from the requisition to purchase order and invoice approval</w:t>
      </w:r>
      <w:r w:rsidR="00CB4675" w:rsidRPr="00193A86">
        <w:t xml:space="preserve"> (</w:t>
      </w:r>
      <w:r w:rsidR="00CB4675" w:rsidRPr="00193A86">
        <w:rPr>
          <w:color w:val="222222"/>
          <w:shd w:val="clear" w:color="auto" w:fill="FFFFFF"/>
        </w:rPr>
        <w:t>Hasim et al., 2018</w:t>
      </w:r>
      <w:r w:rsidR="00CB4675" w:rsidRPr="00193A86">
        <w:t>)</w:t>
      </w:r>
      <w:r w:rsidRPr="00193A86">
        <w:t>. Regardless of uniqueness of any procurement process, in a general sense all entail three Ps namely The Process-being a guide of the rules to be followed when reviewing, ordering, obtaining and paying for the goods. People- these are the stakeholders and their specific duties in the procurement process and finally</w:t>
      </w:r>
      <w:r w:rsidR="00ED1F90" w:rsidRPr="00193A86">
        <w:t>.</w:t>
      </w:r>
      <w:r w:rsidRPr="00193A86">
        <w:t xml:space="preserve"> The Paperwork-documentation involved in every stage of the procurement process are used for reference.</w:t>
      </w:r>
    </w:p>
    <w:p w14:paraId="31D2085A" w14:textId="6D79D237" w:rsidR="00ED1F90" w:rsidRPr="00193A86" w:rsidRDefault="00D333C9" w:rsidP="00193A86">
      <w:pPr>
        <w:spacing w:after="0"/>
        <w:ind w:firstLine="720"/>
      </w:pPr>
      <w:r w:rsidRPr="00193A86">
        <w:t>To maintain and keep a transparent, fair and efficient procurement process, its crucial to have a good understanding of the process flow as demonstrated here in: Needs recognition which enables businesses to sketch an accurate plan for procuring services and goods in a timely manner and at an affordable reasonable cost</w:t>
      </w:r>
      <w:r w:rsidR="00193A86" w:rsidRPr="00193A86">
        <w:t xml:space="preserve"> (</w:t>
      </w:r>
      <w:r w:rsidR="00193A86" w:rsidRPr="00193A86">
        <w:rPr>
          <w:color w:val="222222"/>
          <w:shd w:val="clear" w:color="auto" w:fill="FFFFFF"/>
        </w:rPr>
        <w:t>Soylu et al., 2019</w:t>
      </w:r>
      <w:r w:rsidR="00193A86" w:rsidRPr="00193A86">
        <w:t>)</w:t>
      </w:r>
      <w:r w:rsidRPr="00193A86">
        <w:t>. The second step is purchase requisition which are written or electronic documents raised by internal customers seeking fulfilling of an existing need. Requisition review follows and here approval and cross-check for budget availability is conducted. The approved requisitions become purchase orders whereas rejected requests are returned with a rejection reason. The third step is Solicitation process where an individual procurement plan is developed by the procurement team and its corresponding solicitation process is sketched</w:t>
      </w:r>
      <w:r w:rsidR="00CB4675" w:rsidRPr="00193A86">
        <w:t xml:space="preserve"> (</w:t>
      </w:r>
      <w:r w:rsidR="00CB4675" w:rsidRPr="00193A86">
        <w:rPr>
          <w:color w:val="222222"/>
          <w:shd w:val="clear" w:color="auto" w:fill="FFFFFF"/>
        </w:rPr>
        <w:t>Hasim et al., 2018</w:t>
      </w:r>
      <w:r w:rsidR="00CB4675" w:rsidRPr="00193A86">
        <w:t>)</w:t>
      </w:r>
      <w:r w:rsidRPr="00193A86">
        <w:t>. Immediately the budget is approved, several requests for quotation (RFQ) are made to vendors with the intention to receive and make a comparison of their bids to shortlist the best vendor. The fourth level is the evaluation and contact, review and evaluation of the supplier quotation are done after which the vendor selected enters into contract negotiation and signing of the contact after which the PO once accepted and acknowledged becomes binding.</w:t>
      </w:r>
    </w:p>
    <w:p w14:paraId="74AD3AE7" w14:textId="3D744D9B" w:rsidR="00D333C9" w:rsidRPr="00193A86" w:rsidRDefault="00D333C9" w:rsidP="00193A86">
      <w:pPr>
        <w:spacing w:after="0"/>
        <w:ind w:firstLine="720"/>
      </w:pPr>
      <w:r w:rsidRPr="00193A86">
        <w:t>The next step is Order management, goods or services are delivered within the stipulated timeline. Purchaser examines the order and notifies the vendor of any arising issues. Discrepancies should be addressed once they arise. The sixth step is Invoice approvals and disputes. Here, once matching of purchase order, packaging slips and vendor invoices is done invoices are approved and sent for payment. Lastly, is the record-keeping process. The buyer makes a record of all payments for bookkeeping and auditing</w:t>
      </w:r>
      <w:r w:rsidR="00ED1F90" w:rsidRPr="00193A86">
        <w:t>.</w:t>
      </w:r>
    </w:p>
    <w:p w14:paraId="34B9930D" w14:textId="7CABF6C4" w:rsidR="00D333C9" w:rsidRPr="00193A86" w:rsidRDefault="00D333C9" w:rsidP="00193A86">
      <w:pPr>
        <w:shd w:val="clear" w:color="auto" w:fill="FFFFFF"/>
        <w:spacing w:after="0"/>
      </w:pPr>
      <w:r w:rsidRPr="00193A86">
        <w:tab/>
        <w:t>The policies and procedures apply to a contract until contractual obligations have come to a conclusion, these policies and procedures are namely the appointment of a contract manager being the first. The contract manager oversees and is responsible for procurement initiation and performance, he or she should possess relevant skills and experience for the project</w:t>
      </w:r>
      <w:r w:rsidR="00CB4675" w:rsidRPr="00193A86">
        <w:t xml:space="preserve"> (</w:t>
      </w:r>
      <w:r w:rsidR="00CB4675" w:rsidRPr="00193A86">
        <w:rPr>
          <w:color w:val="222222"/>
          <w:shd w:val="clear" w:color="auto" w:fill="FFFFFF"/>
        </w:rPr>
        <w:t>Leitzel, 2019</w:t>
      </w:r>
      <w:r w:rsidR="00CB4675" w:rsidRPr="00193A86">
        <w:t>)</w:t>
      </w:r>
      <w:r w:rsidRPr="00193A86">
        <w:t>. Succeeding this is planning and documentation, contact planning should occur pre-award. The plan should specify the performance outputs and describe methodology proposed to cement the contract compliance. Next is administering of the contract by ascertaining the validity of the contract terms and renewals where applicable. Moreover, checking that the contractor is providing timely services and goods as per the contract requirements.</w:t>
      </w:r>
    </w:p>
    <w:p w14:paraId="4E4B1930" w14:textId="205B8193" w:rsidR="00D333C9" w:rsidRPr="00193A86" w:rsidRDefault="00ED1F90" w:rsidP="00193A86">
      <w:pPr>
        <w:shd w:val="clear" w:color="auto" w:fill="FFFFFF"/>
        <w:spacing w:after="0"/>
        <w:ind w:firstLine="720"/>
      </w:pPr>
      <w:r w:rsidRPr="00193A86">
        <w:t>T</w:t>
      </w:r>
      <w:r w:rsidR="00D333C9" w:rsidRPr="00193A86">
        <w:t>he contract file should be checked to be complete and contains a copy of the signed contract and modifications that may have arose. Also, a review and approval of any and all invoices submitted for any and all services relating to performance of the contract. Before the end of the contract term, assessment of whether the contract can be extended or should/must be rebid should be made</w:t>
      </w:r>
      <w:r w:rsidR="00CB4675" w:rsidRPr="00193A86">
        <w:t xml:space="preserve"> (</w:t>
      </w:r>
      <w:r w:rsidR="00CB4675" w:rsidRPr="00193A86">
        <w:rPr>
          <w:color w:val="222222"/>
          <w:shd w:val="clear" w:color="auto" w:fill="FFFFFF"/>
        </w:rPr>
        <w:t>Leitzel, 2019</w:t>
      </w:r>
      <w:r w:rsidR="00CB4675" w:rsidRPr="00193A86">
        <w:t>)</w:t>
      </w:r>
      <w:r w:rsidR="00D333C9" w:rsidRPr="00193A86">
        <w:t>. If a contract continues, the manager should provide an orderly transition from the contract. Also, following the expiration or termination of a contract, the contract manager should update records accordingly.</w:t>
      </w:r>
    </w:p>
    <w:p w14:paraId="65C29CBF" w14:textId="31D6466D" w:rsidR="00ED1F90" w:rsidRPr="00193A86" w:rsidRDefault="00D333C9" w:rsidP="00193A86">
      <w:pPr>
        <w:shd w:val="clear" w:color="auto" w:fill="FFFFFF"/>
        <w:spacing w:after="0"/>
      </w:pPr>
      <w:r w:rsidRPr="00193A86">
        <w:tab/>
        <w:t>There are many tools at a project manager’s disposal for project success, contract administration and its processes. They are as outlined: The security contract repository which is a centralized contract repository for the storage of contracts. Another tool is the installation of the intelligent legal workflow. This is a contract management software for legal document workflow which decreases contact lifecycle bottlenecks by prompting the right people with unlimited contract notification</w:t>
      </w:r>
      <w:r w:rsidR="00193A86" w:rsidRPr="00193A86">
        <w:t xml:space="preserve"> (</w:t>
      </w:r>
      <w:r w:rsidR="00193A86" w:rsidRPr="00193A86">
        <w:rPr>
          <w:color w:val="222222"/>
          <w:shd w:val="clear" w:color="auto" w:fill="FFFFFF"/>
        </w:rPr>
        <w:t>Lumineau et al., 2011</w:t>
      </w:r>
      <w:r w:rsidR="00193A86" w:rsidRPr="00193A86">
        <w:t>)</w:t>
      </w:r>
      <w:r w:rsidRPr="00193A86">
        <w:t>. In addition to the above, another tool that can be used is contract management software mobile apps, these provide legal teams with features that they need for successful document management on the go, allowing users to track key dates and milestone, automate their workflow tasks and escalations. Expedited approvals is another tool which offers clarity regarding legal contract approvals. Finally, electronic signature software can be used to keep collaboration and electronic signing process running smoothly.</w:t>
      </w:r>
      <w:r w:rsidR="00ED1F90" w:rsidRPr="00193A86">
        <w:t xml:space="preserve"> </w:t>
      </w:r>
    </w:p>
    <w:p w14:paraId="7B8FBF6B" w14:textId="727286C4" w:rsidR="00D333C9" w:rsidRPr="00193A86" w:rsidRDefault="00D333C9" w:rsidP="00193A86">
      <w:pPr>
        <w:shd w:val="clear" w:color="auto" w:fill="FFFFFF"/>
        <w:spacing w:after="0"/>
        <w:ind w:firstLine="720"/>
      </w:pPr>
      <w:r w:rsidRPr="00193A86">
        <w:t>Procurement performance refers to the measure of identifying the extent to which the procurement process is able to reach the objectives and goals with least cost incurred. Such a parameter can ascertain by Procurement Cycle Time, automating the procurement process with suppliers can significantly reduce the time taken to receive the ordered product</w:t>
      </w:r>
      <w:r w:rsidR="00193A86" w:rsidRPr="00193A86">
        <w:t xml:space="preserve"> (</w:t>
      </w:r>
      <w:r w:rsidR="00193A86" w:rsidRPr="00193A86">
        <w:rPr>
          <w:color w:val="222222"/>
          <w:shd w:val="clear" w:color="auto" w:fill="FFFFFF"/>
        </w:rPr>
        <w:t>Soylu et al., 2019</w:t>
      </w:r>
      <w:r w:rsidR="00193A86" w:rsidRPr="00193A86">
        <w:t>)</w:t>
      </w:r>
      <w:r w:rsidRPr="00193A86">
        <w:t>. This means you receive products needed for key projects sooner and also help increase </w:t>
      </w:r>
      <w:hyperlink r:id="rId7" w:history="1">
        <w:r w:rsidRPr="00193A86">
          <w:t>procure-to-pay efficiency</w:t>
        </w:r>
      </w:hyperlink>
      <w:r w:rsidRPr="00193A86">
        <w:t>. Additionally, Vendor performance management also helps by the monitoring and analyzing of the reliability, quality, and performance of your company’s vendors. Monitoring vendors can help the company boost efficiency and profits, reduce stock levels and inventory costs, and improve satisfaction. Spend under management is another great review performance tactic and refers to the percentage of your organization’s total spend that the procurement department manages</w:t>
      </w:r>
      <w:r w:rsidR="00193A86" w:rsidRPr="00193A86">
        <w:t xml:space="preserve"> (</w:t>
      </w:r>
      <w:r w:rsidR="00193A86" w:rsidRPr="00193A86">
        <w:rPr>
          <w:color w:val="222222"/>
          <w:shd w:val="clear" w:color="auto" w:fill="FFFFFF"/>
        </w:rPr>
        <w:t>Dahlström et al., 2020</w:t>
      </w:r>
      <w:r w:rsidR="00193A86" w:rsidRPr="00193A86">
        <w:t>)</w:t>
      </w:r>
      <w:r w:rsidRPr="00193A86">
        <w:t>. It is a common metric of performance and can easily and uniformly be applied to organizations across all industries and sizes. Moreover, cost savings also remains a fundamental, pivotal metric to measure the success of the procurement function.</w:t>
      </w:r>
    </w:p>
    <w:p w14:paraId="59D8AB94" w14:textId="77777777" w:rsidR="00ED1F90" w:rsidRPr="00193A86" w:rsidRDefault="00D333C9" w:rsidP="00193A86">
      <w:pPr>
        <w:pStyle w:val="Heading2"/>
        <w:shd w:val="clear" w:color="auto" w:fill="FFFFFF"/>
        <w:spacing w:before="0" w:beforeAutospacing="0" w:after="0" w:afterAutospacing="0" w:line="480" w:lineRule="auto"/>
        <w:textAlignment w:val="baseline"/>
        <w:rPr>
          <w:rFonts w:eastAsiaTheme="minorHAnsi"/>
          <w:b w:val="0"/>
          <w:bCs w:val="0"/>
          <w:sz w:val="24"/>
          <w:szCs w:val="24"/>
        </w:rPr>
      </w:pPr>
      <w:r w:rsidRPr="00193A86">
        <w:rPr>
          <w:rFonts w:eastAsiaTheme="minorHAnsi"/>
          <w:b w:val="0"/>
          <w:bCs w:val="0"/>
          <w:sz w:val="24"/>
          <w:szCs w:val="24"/>
        </w:rPr>
        <w:tab/>
        <w:t>Inspection is the continuous completion of checklists by personnel. Contract Inspections can be thought of as compliance tasks with checklists. For example, an inspection can be a targeted verification of to see whether a specific equipment or process is operating. Contract audit on the other hand, are performed less frequently than inspections. The goal to assess overall compliance with one or more regulations, internal policies, or other compliance drivers. Audits also allow a company to “self-check” to make sure everything goes as required. This also checks the process of contract award and procurement for fairness and honesty</w:t>
      </w:r>
      <w:r w:rsidR="00ED1F90" w:rsidRPr="00193A86">
        <w:rPr>
          <w:rFonts w:eastAsiaTheme="minorHAnsi"/>
          <w:b w:val="0"/>
          <w:bCs w:val="0"/>
          <w:sz w:val="24"/>
          <w:szCs w:val="24"/>
        </w:rPr>
        <w:t xml:space="preserve">. </w:t>
      </w:r>
    </w:p>
    <w:p w14:paraId="6A50355F" w14:textId="683B3B48" w:rsidR="00D333C9" w:rsidRPr="00193A86" w:rsidRDefault="00ED1F90" w:rsidP="00193A86">
      <w:pPr>
        <w:pStyle w:val="Heading2"/>
        <w:shd w:val="clear" w:color="auto" w:fill="FFFFFF"/>
        <w:spacing w:before="0" w:beforeAutospacing="0" w:after="0" w:afterAutospacing="0" w:line="480" w:lineRule="auto"/>
        <w:textAlignment w:val="baseline"/>
        <w:rPr>
          <w:rFonts w:eastAsiaTheme="minorHAnsi"/>
          <w:b w:val="0"/>
          <w:bCs w:val="0"/>
          <w:sz w:val="24"/>
          <w:szCs w:val="24"/>
        </w:rPr>
      </w:pPr>
      <w:r w:rsidRPr="00193A86">
        <w:rPr>
          <w:rFonts w:eastAsiaTheme="minorHAnsi"/>
          <w:b w:val="0"/>
          <w:bCs w:val="0"/>
          <w:sz w:val="24"/>
          <w:szCs w:val="24"/>
        </w:rPr>
        <w:tab/>
      </w:r>
      <w:r w:rsidR="00D333C9" w:rsidRPr="00193A86">
        <w:rPr>
          <w:rFonts w:eastAsiaTheme="minorHAnsi"/>
          <w:b w:val="0"/>
          <w:bCs w:val="0"/>
          <w:sz w:val="24"/>
          <w:szCs w:val="24"/>
        </w:rPr>
        <w:t>Performance report involves collecting and disseminating contract project information, resource utilization, communicating contract progress and forecasting future progress and status to various </w:t>
      </w:r>
      <w:hyperlink r:id="rId8" w:tgtFrame="_blank" w:history="1">
        <w:r w:rsidR="00D333C9" w:rsidRPr="00193A86">
          <w:rPr>
            <w:rFonts w:eastAsiaTheme="minorHAnsi"/>
            <w:b w:val="0"/>
            <w:bCs w:val="0"/>
            <w:sz w:val="24"/>
            <w:szCs w:val="24"/>
          </w:rPr>
          <w:t>stakeholders</w:t>
        </w:r>
      </w:hyperlink>
      <w:r w:rsidR="00D333C9" w:rsidRPr="00193A86">
        <w:rPr>
          <w:rFonts w:eastAsiaTheme="minorHAnsi"/>
          <w:b w:val="0"/>
          <w:bCs w:val="0"/>
          <w:sz w:val="24"/>
          <w:szCs w:val="24"/>
        </w:rPr>
        <w:t xml:space="preserve">, as decided in the communication management plan. Record management comes into play from the time of creation of the contract to its eventual disposition/contract completion. This includes identifying, classifying, storing, securing, retrieving, tracking and destroying or permanently preserving records. </w:t>
      </w:r>
    </w:p>
    <w:p w14:paraId="221C7241" w14:textId="77777777" w:rsidR="00D333C9" w:rsidRPr="00193A86" w:rsidRDefault="00D333C9" w:rsidP="00193A86">
      <w:pPr>
        <w:pStyle w:val="NormalWeb"/>
        <w:shd w:val="clear" w:color="auto" w:fill="FFFFFF"/>
        <w:spacing w:before="0" w:beforeAutospacing="0" w:after="0" w:afterAutospacing="0" w:line="480" w:lineRule="auto"/>
        <w:rPr>
          <w:rFonts w:eastAsiaTheme="minorHAnsi"/>
        </w:rPr>
      </w:pPr>
      <w:r w:rsidRPr="00193A86">
        <w:rPr>
          <w:rFonts w:eastAsiaTheme="minorHAnsi"/>
        </w:rPr>
        <w:tab/>
        <w:t>Variations of contract payment terms are used to encourage payment on time. A net 60 means that the buyer has 60 days to pay for the order from the date of completion of the contract whereas Net 30 is a short-term credit that the merchant extends to the buyer. Usually, Net 30 on an invoice is used when a job is complete, e.g., a product or service has been sold but the payment has not been made in full. The 30-day period includes the time products spend in transit to the end-consumer.  An advantage of using a Net 30 invoice payment term is that buyers are more incentivized to purchase if there is an option to delay payment.</w:t>
      </w:r>
    </w:p>
    <w:p w14:paraId="1D77134A" w14:textId="3B1AFAB9" w:rsidR="00D333C9" w:rsidRPr="00193A86" w:rsidRDefault="00D333C9" w:rsidP="00193A86">
      <w:pPr>
        <w:pStyle w:val="NormalWeb"/>
        <w:shd w:val="clear" w:color="auto" w:fill="FFFFFF"/>
        <w:spacing w:before="0" w:beforeAutospacing="0" w:after="0" w:afterAutospacing="0" w:line="480" w:lineRule="auto"/>
        <w:rPr>
          <w:rFonts w:eastAsiaTheme="minorHAnsi"/>
        </w:rPr>
      </w:pPr>
      <w:r w:rsidRPr="00193A86">
        <w:rPr>
          <w:rFonts w:eastAsiaTheme="minorHAnsi"/>
        </w:rPr>
        <w:tab/>
        <w:t>In the event that conflict arises, dispute in contact negotiation can be solved through adjudication for a quick resolve for example construction contract includes mandatory adjudication with a 42-day resolution period. in case of adjudication failing arbitration will come into play, the dispute ide the courts. For a high value contract panels may be opted to be employed and thus resolves the reliance of one individual. Furthermore, mediation may be involved to avoid going to court. This is a good option to allow parties to attempt to negotiate and come up with a settlement. Finally, litigation is employed. Legal dispute is resolved on civil matters.</w:t>
      </w:r>
      <w:r w:rsidR="00193A86">
        <w:rPr>
          <w:rFonts w:eastAsiaTheme="minorHAnsi"/>
        </w:rPr>
        <w:t xml:space="preserve"> </w:t>
      </w:r>
      <w:r w:rsidRPr="00193A86">
        <w:rPr>
          <w:rFonts w:eastAsiaTheme="minorHAnsi"/>
        </w:rPr>
        <w:t>Project closure is the final process in a contract performance. Some of the benefits of this process are that it permits storage of relevant information of the contract for future references. Also due to SWOT analysis the team is able to have an overall view of their performance. Moreover, allows checking of accounts and ensuring payments of dues and that no disputes exist.</w:t>
      </w:r>
    </w:p>
    <w:p w14:paraId="346ADAA5" w14:textId="46E66F22" w:rsidR="00D333C9" w:rsidRPr="00193A86" w:rsidRDefault="00D333C9" w:rsidP="00193A86">
      <w:pPr>
        <w:pStyle w:val="NormalWeb"/>
        <w:shd w:val="clear" w:color="auto" w:fill="FFFFFF"/>
        <w:spacing w:before="0" w:beforeAutospacing="0" w:after="0" w:afterAutospacing="0" w:line="480" w:lineRule="auto"/>
        <w:rPr>
          <w:rFonts w:eastAsiaTheme="minorHAnsi"/>
        </w:rPr>
      </w:pPr>
      <w:r w:rsidRPr="00193A86">
        <w:rPr>
          <w:rFonts w:eastAsiaTheme="minorHAnsi"/>
        </w:rPr>
        <w:tab/>
        <w:t>External influences on the procurement and risk management process majorly focuses on the vulnerability of a business. Political atmosphere such as government policy changes and international policies might highly affect the procurement operations. Technological changes might create a shift in the business model on how procurement and contract its conducted. Also, environmental factors such as climatic changes have an influence on business operations and hence plans for management of scarce resources should be put in place. External responses are related to the risk response plans of any procurement process. They allow for systematic analysis; external factors are usually first resolved. Failure to carry out an obligation leads to losses on the part of the firm.</w:t>
      </w:r>
    </w:p>
    <w:p w14:paraId="0091F8D2" w14:textId="77777777" w:rsidR="00D333C9" w:rsidRPr="00193A86" w:rsidRDefault="00D333C9" w:rsidP="00193A86">
      <w:pPr>
        <w:pStyle w:val="Heading2"/>
        <w:shd w:val="clear" w:color="auto" w:fill="FFFFFF"/>
        <w:spacing w:before="0" w:beforeAutospacing="0" w:after="0" w:afterAutospacing="0" w:line="480" w:lineRule="auto"/>
        <w:textAlignment w:val="baseline"/>
        <w:rPr>
          <w:rFonts w:eastAsiaTheme="minorHAnsi"/>
          <w:b w:val="0"/>
          <w:bCs w:val="0"/>
          <w:sz w:val="24"/>
          <w:szCs w:val="24"/>
        </w:rPr>
      </w:pPr>
    </w:p>
    <w:p w14:paraId="215B7894" w14:textId="6C516EFC" w:rsidR="00D333C9" w:rsidRPr="00193A86" w:rsidRDefault="00D333C9" w:rsidP="00193A86">
      <w:pPr>
        <w:pStyle w:val="Heading2"/>
        <w:shd w:val="clear" w:color="auto" w:fill="FFFFFF"/>
        <w:spacing w:before="0" w:beforeAutospacing="0" w:after="0" w:afterAutospacing="0" w:line="480" w:lineRule="auto"/>
        <w:textAlignment w:val="baseline"/>
        <w:rPr>
          <w:color w:val="000000"/>
          <w:sz w:val="24"/>
          <w:szCs w:val="24"/>
          <w:shd w:val="clear" w:color="auto" w:fill="FFFFFF"/>
        </w:rPr>
      </w:pPr>
      <w:r w:rsidRPr="00193A86">
        <w:rPr>
          <w:rFonts w:eastAsiaTheme="minorHAnsi"/>
          <w:b w:val="0"/>
          <w:bCs w:val="0"/>
          <w:sz w:val="24"/>
          <w:szCs w:val="24"/>
        </w:rPr>
        <w:tab/>
      </w:r>
      <w:r w:rsidRPr="00193A86">
        <w:rPr>
          <w:rFonts w:eastAsiaTheme="minorHAnsi"/>
          <w:b w:val="0"/>
          <w:bCs w:val="0"/>
          <w:sz w:val="24"/>
          <w:szCs w:val="24"/>
        </w:rPr>
        <w:tab/>
      </w:r>
    </w:p>
    <w:p w14:paraId="00AE6890" w14:textId="77777777" w:rsidR="007249F5" w:rsidRDefault="007249F5">
      <w:pPr>
        <w:spacing w:line="259" w:lineRule="auto"/>
        <w:rPr>
          <w:b/>
          <w:bCs/>
        </w:rPr>
      </w:pPr>
      <w:r>
        <w:br w:type="page"/>
      </w:r>
    </w:p>
    <w:p w14:paraId="4EE6E506" w14:textId="5D7C329C" w:rsidR="00D333C9" w:rsidRPr="00193A86" w:rsidRDefault="00D333C9" w:rsidP="00193A86">
      <w:pPr>
        <w:pStyle w:val="Heading2"/>
        <w:shd w:val="clear" w:color="auto" w:fill="FFFFFF"/>
        <w:spacing w:before="0" w:beforeAutospacing="0" w:after="0" w:afterAutospacing="0" w:line="480" w:lineRule="auto"/>
        <w:jc w:val="center"/>
        <w:textAlignment w:val="baseline"/>
        <w:rPr>
          <w:rFonts w:eastAsiaTheme="minorHAnsi"/>
          <w:sz w:val="24"/>
          <w:szCs w:val="24"/>
        </w:rPr>
      </w:pPr>
      <w:bookmarkStart w:id="0" w:name="_GoBack"/>
      <w:bookmarkEnd w:id="0"/>
      <w:r w:rsidRPr="00193A86">
        <w:rPr>
          <w:rFonts w:eastAsiaTheme="minorHAnsi"/>
          <w:sz w:val="24"/>
          <w:szCs w:val="24"/>
        </w:rPr>
        <w:t>References</w:t>
      </w:r>
    </w:p>
    <w:p w14:paraId="4AA912E9" w14:textId="77777777" w:rsidR="00193A86" w:rsidRPr="00193A86" w:rsidRDefault="00193A86" w:rsidP="00193A86">
      <w:pPr>
        <w:spacing w:after="0"/>
        <w:rPr>
          <w:color w:val="222222"/>
          <w:shd w:val="clear" w:color="auto" w:fill="FFFFFF"/>
        </w:rPr>
      </w:pPr>
      <w:r w:rsidRPr="00193A86">
        <w:rPr>
          <w:color w:val="222222"/>
          <w:shd w:val="clear" w:color="auto" w:fill="FFFFFF"/>
        </w:rPr>
        <w:t>Dahlström, C., Fazekas, M., &amp; Lewis, D. E. (2020). Partisan Procurement: Contracting with the</w:t>
      </w:r>
      <w:r>
        <w:rPr>
          <w:color w:val="222222"/>
          <w:shd w:val="clear" w:color="auto" w:fill="FFFFFF"/>
        </w:rPr>
        <w:tab/>
      </w:r>
      <w:r w:rsidRPr="00193A86">
        <w:rPr>
          <w:color w:val="222222"/>
          <w:shd w:val="clear" w:color="auto" w:fill="FFFFFF"/>
        </w:rPr>
        <w:t>United States Federal Government, 2003–2015. </w:t>
      </w:r>
      <w:r w:rsidRPr="00193A86">
        <w:rPr>
          <w:i/>
          <w:iCs/>
          <w:color w:val="222222"/>
          <w:shd w:val="clear" w:color="auto" w:fill="FFFFFF"/>
        </w:rPr>
        <w:t>American Journal of Political Science</w:t>
      </w:r>
      <w:r w:rsidRPr="00193A86">
        <w:rPr>
          <w:color w:val="222222"/>
          <w:shd w:val="clear" w:color="auto" w:fill="FFFFFF"/>
        </w:rPr>
        <w:t>.</w:t>
      </w:r>
    </w:p>
    <w:p w14:paraId="53475FF1" w14:textId="77777777" w:rsidR="00193A86" w:rsidRPr="00193A86" w:rsidRDefault="00193A86" w:rsidP="00193A86">
      <w:pPr>
        <w:spacing w:after="0"/>
      </w:pPr>
      <w:r w:rsidRPr="00193A86">
        <w:rPr>
          <w:color w:val="222222"/>
          <w:shd w:val="clear" w:color="auto" w:fill="FFFFFF"/>
        </w:rPr>
        <w:t>Hasim, S., Fauzi, M. A., Yusof, Z., Endut, I. R., &amp; Ridzuan, A. R. M. (2018, October). The</w:t>
      </w:r>
      <w:r>
        <w:rPr>
          <w:color w:val="222222"/>
          <w:shd w:val="clear" w:color="auto" w:fill="FFFFFF"/>
        </w:rPr>
        <w:tab/>
      </w:r>
      <w:r w:rsidRPr="00193A86">
        <w:rPr>
          <w:color w:val="222222"/>
          <w:shd w:val="clear" w:color="auto" w:fill="FFFFFF"/>
        </w:rPr>
        <w:t>material supply chain management in a construction project: A current scenario in the</w:t>
      </w:r>
      <w:r>
        <w:rPr>
          <w:color w:val="222222"/>
          <w:shd w:val="clear" w:color="auto" w:fill="FFFFFF"/>
        </w:rPr>
        <w:tab/>
      </w:r>
      <w:r w:rsidRPr="00193A86">
        <w:rPr>
          <w:color w:val="222222"/>
          <w:shd w:val="clear" w:color="auto" w:fill="FFFFFF"/>
        </w:rPr>
        <w:t>procurement process. In </w:t>
      </w:r>
      <w:r w:rsidRPr="00193A86">
        <w:rPr>
          <w:i/>
          <w:iCs/>
          <w:color w:val="222222"/>
          <w:shd w:val="clear" w:color="auto" w:fill="FFFFFF"/>
        </w:rPr>
        <w:t>AIP Conference Proceedings</w:t>
      </w:r>
      <w:r w:rsidRPr="00193A86">
        <w:rPr>
          <w:color w:val="222222"/>
          <w:shd w:val="clear" w:color="auto" w:fill="FFFFFF"/>
        </w:rPr>
        <w:t> (Vol. 2020, No. 1, p. 020049). AIP</w:t>
      </w:r>
      <w:r>
        <w:rPr>
          <w:color w:val="222222"/>
          <w:shd w:val="clear" w:color="auto" w:fill="FFFFFF"/>
        </w:rPr>
        <w:tab/>
      </w:r>
      <w:r w:rsidRPr="00193A86">
        <w:rPr>
          <w:color w:val="222222"/>
          <w:shd w:val="clear" w:color="auto" w:fill="FFFFFF"/>
        </w:rPr>
        <w:t>Publishing LLC.</w:t>
      </w:r>
    </w:p>
    <w:p w14:paraId="74387E95" w14:textId="77777777" w:rsidR="00193A86" w:rsidRPr="00193A86" w:rsidRDefault="00193A86" w:rsidP="00193A86">
      <w:pPr>
        <w:spacing w:after="0"/>
        <w:rPr>
          <w:color w:val="222222"/>
          <w:shd w:val="clear" w:color="auto" w:fill="FFFFFF"/>
        </w:rPr>
      </w:pPr>
      <w:r w:rsidRPr="00193A86">
        <w:rPr>
          <w:color w:val="222222"/>
          <w:shd w:val="clear" w:color="auto" w:fill="FFFFFF"/>
        </w:rPr>
        <w:t>Leitzel, J. (2019). </w:t>
      </w:r>
      <w:r w:rsidRPr="00193A86">
        <w:rPr>
          <w:i/>
          <w:iCs/>
          <w:color w:val="222222"/>
          <w:shd w:val="clear" w:color="auto" w:fill="FFFFFF"/>
        </w:rPr>
        <w:t>Incentives in procurement contracting</w:t>
      </w:r>
      <w:r w:rsidRPr="00193A86">
        <w:rPr>
          <w:color w:val="222222"/>
          <w:shd w:val="clear" w:color="auto" w:fill="FFFFFF"/>
        </w:rPr>
        <w:t>. Routledge.</w:t>
      </w:r>
    </w:p>
    <w:p w14:paraId="365D18C2" w14:textId="77777777" w:rsidR="00193A86" w:rsidRPr="00193A86" w:rsidRDefault="00193A86" w:rsidP="00193A86">
      <w:pPr>
        <w:spacing w:after="0"/>
        <w:rPr>
          <w:color w:val="222222"/>
          <w:shd w:val="clear" w:color="auto" w:fill="FFFFFF"/>
        </w:rPr>
      </w:pPr>
      <w:r w:rsidRPr="00193A86">
        <w:rPr>
          <w:color w:val="222222"/>
          <w:shd w:val="clear" w:color="auto" w:fill="FFFFFF"/>
        </w:rPr>
        <w:t>Lumineau, F., Fréchet, M., &amp; Puthod, D. (2011). An organizational learning perspective on the</w:t>
      </w:r>
      <w:r>
        <w:rPr>
          <w:color w:val="222222"/>
          <w:shd w:val="clear" w:color="auto" w:fill="FFFFFF"/>
        </w:rPr>
        <w:tab/>
      </w:r>
      <w:r w:rsidRPr="00193A86">
        <w:rPr>
          <w:color w:val="222222"/>
          <w:shd w:val="clear" w:color="auto" w:fill="FFFFFF"/>
        </w:rPr>
        <w:t>contracting process. </w:t>
      </w:r>
      <w:r w:rsidRPr="00193A86">
        <w:rPr>
          <w:i/>
          <w:iCs/>
          <w:color w:val="222222"/>
          <w:shd w:val="clear" w:color="auto" w:fill="FFFFFF"/>
        </w:rPr>
        <w:t>Strategic Organization</w:t>
      </w:r>
      <w:r w:rsidRPr="00193A86">
        <w:rPr>
          <w:color w:val="222222"/>
          <w:shd w:val="clear" w:color="auto" w:fill="FFFFFF"/>
        </w:rPr>
        <w:t>, </w:t>
      </w:r>
      <w:r w:rsidRPr="00193A86">
        <w:rPr>
          <w:i/>
          <w:iCs/>
          <w:color w:val="222222"/>
          <w:shd w:val="clear" w:color="auto" w:fill="FFFFFF"/>
        </w:rPr>
        <w:t>9</w:t>
      </w:r>
      <w:r w:rsidRPr="00193A86">
        <w:rPr>
          <w:color w:val="222222"/>
          <w:shd w:val="clear" w:color="auto" w:fill="FFFFFF"/>
        </w:rPr>
        <w:t>(1), 8-32.</w:t>
      </w:r>
    </w:p>
    <w:p w14:paraId="2C8BA36B" w14:textId="77777777" w:rsidR="00193A86" w:rsidRPr="00193A86" w:rsidRDefault="00193A86" w:rsidP="00193A86">
      <w:pPr>
        <w:spacing w:after="0"/>
        <w:rPr>
          <w:color w:val="222222"/>
          <w:shd w:val="clear" w:color="auto" w:fill="FFFFFF"/>
        </w:rPr>
      </w:pPr>
      <w:r w:rsidRPr="00193A86">
        <w:rPr>
          <w:color w:val="222222"/>
          <w:shd w:val="clear" w:color="auto" w:fill="FFFFFF"/>
        </w:rPr>
        <w:t>Soylu, A., Elvesæter, B., Turk, P., Roman, D., Corcho, O., Simperl, E., ... &amp; Lech, T. C. (2019,</w:t>
      </w:r>
      <w:r>
        <w:rPr>
          <w:color w:val="222222"/>
          <w:shd w:val="clear" w:color="auto" w:fill="FFFFFF"/>
        </w:rPr>
        <w:tab/>
      </w:r>
      <w:r w:rsidRPr="00193A86">
        <w:rPr>
          <w:color w:val="222222"/>
          <w:shd w:val="clear" w:color="auto" w:fill="FFFFFF"/>
        </w:rPr>
        <w:t>September). Towards an ontology for public procurement based on the open contracting</w:t>
      </w:r>
      <w:r>
        <w:rPr>
          <w:color w:val="222222"/>
          <w:shd w:val="clear" w:color="auto" w:fill="FFFFFF"/>
        </w:rPr>
        <w:tab/>
      </w:r>
      <w:r w:rsidRPr="00193A86">
        <w:rPr>
          <w:color w:val="222222"/>
          <w:shd w:val="clear" w:color="auto" w:fill="FFFFFF"/>
        </w:rPr>
        <w:t>data standard. In </w:t>
      </w:r>
      <w:r w:rsidRPr="00193A86">
        <w:rPr>
          <w:i/>
          <w:iCs/>
          <w:color w:val="222222"/>
          <w:shd w:val="clear" w:color="auto" w:fill="FFFFFF"/>
        </w:rPr>
        <w:t>Conference on e-Business, e-Services and e-Society</w:t>
      </w:r>
      <w:r w:rsidRPr="00193A86">
        <w:rPr>
          <w:color w:val="222222"/>
          <w:shd w:val="clear" w:color="auto" w:fill="FFFFFF"/>
        </w:rPr>
        <w:t> (pp. 230-237).</w:t>
      </w:r>
      <w:r>
        <w:rPr>
          <w:color w:val="222222"/>
          <w:shd w:val="clear" w:color="auto" w:fill="FFFFFF"/>
        </w:rPr>
        <w:tab/>
      </w:r>
      <w:r w:rsidRPr="00193A86">
        <w:rPr>
          <w:color w:val="222222"/>
          <w:shd w:val="clear" w:color="auto" w:fill="FFFFFF"/>
        </w:rPr>
        <w:t>Springer, Cham.</w:t>
      </w:r>
    </w:p>
    <w:sectPr w:rsidR="00193A86" w:rsidRPr="00193A86" w:rsidSect="0027438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48E69" w14:textId="77777777" w:rsidR="005267D6" w:rsidRDefault="005267D6" w:rsidP="00193A86">
      <w:pPr>
        <w:spacing w:after="0" w:line="240" w:lineRule="auto"/>
      </w:pPr>
      <w:r>
        <w:separator/>
      </w:r>
    </w:p>
  </w:endnote>
  <w:endnote w:type="continuationSeparator" w:id="0">
    <w:p w14:paraId="6DAD5EA3" w14:textId="77777777" w:rsidR="005267D6" w:rsidRDefault="005267D6" w:rsidP="0019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7E5AA9" w14:textId="77777777" w:rsidR="005267D6" w:rsidRDefault="005267D6" w:rsidP="00193A86">
      <w:pPr>
        <w:spacing w:after="0" w:line="240" w:lineRule="auto"/>
      </w:pPr>
      <w:r>
        <w:separator/>
      </w:r>
    </w:p>
  </w:footnote>
  <w:footnote w:type="continuationSeparator" w:id="0">
    <w:p w14:paraId="55FE6CDA" w14:textId="77777777" w:rsidR="005267D6" w:rsidRDefault="005267D6" w:rsidP="00193A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083032"/>
      <w:docPartObj>
        <w:docPartGallery w:val="Page Numbers (Top of Page)"/>
        <w:docPartUnique/>
      </w:docPartObj>
    </w:sdtPr>
    <w:sdtEndPr>
      <w:rPr>
        <w:noProof/>
      </w:rPr>
    </w:sdtEndPr>
    <w:sdtContent>
      <w:p w14:paraId="708FAA49" w14:textId="783C2814" w:rsidR="00193A86" w:rsidRDefault="00193A86" w:rsidP="00193A86">
        <w:pPr>
          <w:pStyle w:val="Header"/>
          <w:spacing w:line="480" w:lineRule="auto"/>
          <w:jc w:val="right"/>
        </w:pPr>
        <w:r>
          <w:fldChar w:fldCharType="begin"/>
        </w:r>
        <w:r>
          <w:instrText xml:space="preserve"> PAGE   \* MERGEFORMAT </w:instrText>
        </w:r>
        <w:r>
          <w:fldChar w:fldCharType="separate"/>
        </w:r>
        <w:r w:rsidR="005267D6">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333C9"/>
    <w:rsid w:val="00193A86"/>
    <w:rsid w:val="0027438A"/>
    <w:rsid w:val="004D3E52"/>
    <w:rsid w:val="005267D6"/>
    <w:rsid w:val="007249F5"/>
    <w:rsid w:val="00CB4675"/>
    <w:rsid w:val="00CF22A0"/>
    <w:rsid w:val="00D333C9"/>
    <w:rsid w:val="00ED1F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A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3C9"/>
    <w:pPr>
      <w:spacing w:line="480" w:lineRule="auto"/>
    </w:pPr>
    <w:rPr>
      <w:rFonts w:ascii="Times New Roman" w:hAnsi="Times New Roman" w:cs="Times New Roman"/>
      <w:sz w:val="24"/>
      <w:szCs w:val="24"/>
    </w:rPr>
  </w:style>
  <w:style w:type="paragraph" w:styleId="Heading2">
    <w:name w:val="heading 2"/>
    <w:basedOn w:val="Normal"/>
    <w:link w:val="Heading2Char"/>
    <w:uiPriority w:val="9"/>
    <w:qFormat/>
    <w:rsid w:val="00D333C9"/>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33C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333C9"/>
    <w:rPr>
      <w:color w:val="0000FF"/>
      <w:u w:val="single"/>
    </w:rPr>
  </w:style>
  <w:style w:type="paragraph" w:styleId="NormalWeb">
    <w:name w:val="Normal (Web)"/>
    <w:basedOn w:val="Normal"/>
    <w:uiPriority w:val="99"/>
    <w:unhideWhenUsed/>
    <w:rsid w:val="00D333C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ED1F90"/>
    <w:rPr>
      <w:b/>
      <w:bCs/>
    </w:rPr>
  </w:style>
  <w:style w:type="paragraph" w:styleId="Header">
    <w:name w:val="header"/>
    <w:basedOn w:val="Normal"/>
    <w:link w:val="HeaderChar"/>
    <w:uiPriority w:val="99"/>
    <w:unhideWhenUsed/>
    <w:rsid w:val="00193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A86"/>
    <w:rPr>
      <w:rFonts w:ascii="Times New Roman" w:hAnsi="Times New Roman" w:cs="Times New Roman"/>
      <w:sz w:val="24"/>
      <w:szCs w:val="24"/>
    </w:rPr>
  </w:style>
  <w:style w:type="paragraph" w:styleId="Footer">
    <w:name w:val="footer"/>
    <w:basedOn w:val="Normal"/>
    <w:link w:val="FooterChar"/>
    <w:uiPriority w:val="99"/>
    <w:unhideWhenUsed/>
    <w:rsid w:val="00193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A8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ilearn.com/stakeholders-impact-on-the-projects-article" TargetMode="External"/><Relationship Id="rId3" Type="http://schemas.openxmlformats.org/officeDocument/2006/relationships/settings" Target="settings.xml"/><Relationship Id="rId7" Type="http://schemas.openxmlformats.org/officeDocument/2006/relationships/hyperlink" Target="https://paramountworkplace.com/procure-to-pay-calculat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1716</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2021-02-12T01:44:00Z</dcterms:created>
  <dcterms:modified xsi:type="dcterms:W3CDTF">2021-02-12T01:44:00Z</dcterms:modified>
</cp:coreProperties>
</file>