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285B19" w:rsidRDefault="006E645A" w:rsidP="00285B19">
      <w:pPr>
        <w:spacing w:after="0"/>
        <w:jc w:val="center"/>
      </w:pPr>
    </w:p>
    <w:p w:rsidR="006E645A" w:rsidRPr="00285B19" w:rsidRDefault="006E645A" w:rsidP="00285B19">
      <w:pPr>
        <w:spacing w:after="0"/>
        <w:jc w:val="center"/>
      </w:pPr>
    </w:p>
    <w:p w:rsidR="006E645A" w:rsidRPr="00285B19" w:rsidRDefault="006E645A" w:rsidP="00285B19">
      <w:pPr>
        <w:spacing w:after="0"/>
        <w:jc w:val="center"/>
      </w:pPr>
    </w:p>
    <w:p w:rsidR="006E645A" w:rsidRPr="00285B19" w:rsidRDefault="006E645A" w:rsidP="00285B19">
      <w:pPr>
        <w:spacing w:after="0"/>
        <w:jc w:val="center"/>
      </w:pPr>
    </w:p>
    <w:p w:rsidR="006E645A" w:rsidRPr="00285B19" w:rsidRDefault="006E645A" w:rsidP="00285B19">
      <w:pPr>
        <w:spacing w:after="0"/>
      </w:pPr>
    </w:p>
    <w:p w:rsidR="00273469" w:rsidRDefault="00273469" w:rsidP="00285B19">
      <w:pPr>
        <w:spacing w:after="0"/>
      </w:pPr>
    </w:p>
    <w:p w:rsidR="00285B19" w:rsidRDefault="00285B19" w:rsidP="00285B19">
      <w:pPr>
        <w:spacing w:after="0"/>
      </w:pPr>
    </w:p>
    <w:p w:rsidR="00285B19" w:rsidRPr="00285B19" w:rsidRDefault="00285B19" w:rsidP="00285B19">
      <w:pPr>
        <w:spacing w:after="0"/>
      </w:pPr>
    </w:p>
    <w:p w:rsidR="006E645A" w:rsidRPr="00285B19" w:rsidRDefault="006E645A" w:rsidP="00285B19">
      <w:pPr>
        <w:spacing w:after="0"/>
        <w:jc w:val="center"/>
      </w:pPr>
    </w:p>
    <w:p w:rsidR="00AA4981" w:rsidRPr="00285B19" w:rsidRDefault="00E27EF1" w:rsidP="00285B19">
      <w:pPr>
        <w:spacing w:after="0"/>
        <w:jc w:val="center"/>
      </w:pPr>
      <w:r w:rsidRPr="00285B19">
        <w:t>DRI Determination Overview</w:t>
      </w:r>
    </w:p>
    <w:p w:rsidR="006E645A" w:rsidRPr="00285B19" w:rsidRDefault="00E27EF1" w:rsidP="00285B19">
      <w:pPr>
        <w:spacing w:after="0"/>
        <w:jc w:val="center"/>
      </w:pPr>
      <w:r w:rsidRPr="00285B19">
        <w:t>Name</w:t>
      </w:r>
    </w:p>
    <w:p w:rsidR="006E645A" w:rsidRPr="00285B19" w:rsidRDefault="00E27EF1" w:rsidP="00285B19">
      <w:pPr>
        <w:spacing w:after="0"/>
        <w:jc w:val="center"/>
      </w:pPr>
      <w:r w:rsidRPr="00285B19">
        <w:t>Institution</w:t>
      </w:r>
    </w:p>
    <w:p w:rsidR="00F51FB9" w:rsidRPr="00285B19" w:rsidRDefault="00E27EF1" w:rsidP="00285B19">
      <w:pPr>
        <w:spacing w:after="0"/>
        <w:jc w:val="center"/>
      </w:pPr>
      <w:r w:rsidRPr="00285B19">
        <w:t>Date</w:t>
      </w:r>
    </w:p>
    <w:p w:rsidR="00B20C0E" w:rsidRPr="00285B19" w:rsidRDefault="00B20C0E" w:rsidP="00285B19">
      <w:pPr>
        <w:spacing w:after="0"/>
        <w:jc w:val="center"/>
      </w:pPr>
    </w:p>
    <w:p w:rsidR="00B20C0E" w:rsidRPr="00285B19" w:rsidRDefault="00B20C0E" w:rsidP="00285B19">
      <w:pPr>
        <w:spacing w:after="0"/>
        <w:jc w:val="center"/>
      </w:pPr>
    </w:p>
    <w:p w:rsidR="00B20C0E" w:rsidRPr="00285B19" w:rsidRDefault="00B20C0E" w:rsidP="00285B19">
      <w:pPr>
        <w:spacing w:after="0"/>
        <w:jc w:val="center"/>
      </w:pPr>
    </w:p>
    <w:p w:rsidR="00B20C0E" w:rsidRPr="00285B19" w:rsidRDefault="00B20C0E" w:rsidP="00285B19">
      <w:pPr>
        <w:spacing w:after="0"/>
        <w:jc w:val="center"/>
      </w:pPr>
    </w:p>
    <w:p w:rsidR="00B20C0E" w:rsidRPr="00285B19" w:rsidRDefault="00B20C0E" w:rsidP="00285B19">
      <w:pPr>
        <w:spacing w:after="0"/>
        <w:jc w:val="center"/>
      </w:pPr>
    </w:p>
    <w:p w:rsidR="00B20C0E" w:rsidRPr="00285B19" w:rsidRDefault="00B20C0E" w:rsidP="00285B19">
      <w:pPr>
        <w:spacing w:after="0"/>
        <w:jc w:val="center"/>
      </w:pPr>
    </w:p>
    <w:p w:rsidR="00B20C0E" w:rsidRPr="00285B19" w:rsidRDefault="00B20C0E" w:rsidP="00285B19">
      <w:pPr>
        <w:spacing w:after="0"/>
        <w:jc w:val="center"/>
      </w:pPr>
    </w:p>
    <w:p w:rsidR="00273469" w:rsidRPr="00285B19" w:rsidRDefault="00273469" w:rsidP="00285B19">
      <w:pPr>
        <w:spacing w:after="0"/>
        <w:jc w:val="center"/>
      </w:pPr>
    </w:p>
    <w:p w:rsidR="00654269" w:rsidRPr="00285B19" w:rsidRDefault="00654269" w:rsidP="00285B19">
      <w:pPr>
        <w:spacing w:after="0"/>
        <w:jc w:val="center"/>
      </w:pPr>
    </w:p>
    <w:p w:rsidR="00285B19" w:rsidRDefault="00285B19" w:rsidP="00285B19">
      <w:pPr>
        <w:spacing w:after="0"/>
        <w:jc w:val="center"/>
      </w:pPr>
    </w:p>
    <w:p w:rsidR="00285B19" w:rsidRDefault="00285B19" w:rsidP="00285B19">
      <w:pPr>
        <w:spacing w:after="0"/>
        <w:jc w:val="center"/>
      </w:pPr>
    </w:p>
    <w:p w:rsidR="00285B19" w:rsidRDefault="00285B19" w:rsidP="00285B19">
      <w:pPr>
        <w:spacing w:after="0"/>
        <w:jc w:val="center"/>
      </w:pPr>
    </w:p>
    <w:p w:rsidR="00AA4981" w:rsidRDefault="00E27EF1" w:rsidP="00285B19">
      <w:pPr>
        <w:spacing w:after="0"/>
        <w:jc w:val="center"/>
      </w:pPr>
      <w:r w:rsidRPr="00285B19">
        <w:lastRenderedPageBreak/>
        <w:t>DRI Determination Overview</w:t>
      </w:r>
    </w:p>
    <w:p w:rsidR="009B1D4D" w:rsidRPr="009B1D4D" w:rsidRDefault="00E27EF1" w:rsidP="009B1D4D">
      <w:pPr>
        <w:spacing w:after="0"/>
        <w:ind w:firstLine="720"/>
        <w:jc w:val="both"/>
      </w:pPr>
      <w:r w:rsidRPr="00285B19">
        <w:t>In general terms, DRI refers to a series of set reference values that act as guidelines for controlling nutrient intake in healthy individuals. According to the video, “DRI Determination,” Dietary Reference Intake comprises of two general guidelines. The first provides the guidelines for the daily nutrient requirements needed to maintain a healthy living (Pearson, 2020). The outlined guidelines are the Estimated Average Requirement (EAR), which is an estimate of nutrient intake necessary to meet the requirements for individuals in a specific life stage. Another is the Recommended Dietary Allowance (RDA), which is the average intake level for all healthy individuals. Finally, we have the Adequate Intake (AI), which are experimentally determined adequate nutrient estimates and the Tolerable Upper Intake Level (UL), which is the highest level of nutrient intake that may result in adverse health effects (Pearson, 2020). Alternatively, the other set of guidelines comprises of the nutrient intakes required to prevent the occurrence of chronic diseases. They include the Estimated Energy Requirement (EER), which predicts minimum energy intake necessary to maintain energy balance, and Acceptable Macronutrient Distribution Ranges (AMDR), the recommended macronutrient intake.</w:t>
      </w:r>
    </w:p>
    <w:p w:rsidR="009B1D4D" w:rsidRDefault="00E27EF1" w:rsidP="00285B19">
      <w:pPr>
        <w:spacing w:after="0"/>
        <w:ind w:firstLine="720"/>
        <w:jc w:val="both"/>
      </w:pPr>
      <w:r w:rsidRPr="00285B19">
        <w:t>I also went throug</w:t>
      </w:r>
      <w:r w:rsidR="00273469" w:rsidRPr="00285B19">
        <w:t>h the "review it" section and chapter 1 of the course reader</w:t>
      </w:r>
      <w:r w:rsidRPr="00285B19">
        <w:t xml:space="preserve"> and found some interesting facts relating to the relationship between food and health. This section provides access to the course material, which includes in-depth information regarding the relationship between food and health</w:t>
      </w:r>
      <w:r w:rsidR="009B1D4D">
        <w:rPr>
          <w:rFonts w:eastAsia="Arial Unicode MS"/>
          <w:color w:val="000000"/>
          <w:shd w:val="clear" w:color="auto" w:fill="FFFFFF"/>
        </w:rPr>
        <w:t>(Thompson</w:t>
      </w:r>
      <w:r w:rsidR="009B1D4D" w:rsidRPr="00285B19">
        <w:rPr>
          <w:rFonts w:eastAsia="Arial Unicode MS"/>
          <w:color w:val="000000"/>
          <w:shd w:val="clear" w:color="auto" w:fill="FFFFFF"/>
        </w:rPr>
        <w:t>&amp;Manore,</w:t>
      </w:r>
      <w:r w:rsidR="009B1D4D">
        <w:rPr>
          <w:rFonts w:eastAsia="Arial Unicode MS"/>
          <w:color w:val="000000"/>
          <w:shd w:val="clear" w:color="auto" w:fill="FFFFFF"/>
        </w:rPr>
        <w:t xml:space="preserve"> 2015)</w:t>
      </w:r>
      <w:r w:rsidRPr="00285B19">
        <w:t xml:space="preserve">. </w:t>
      </w:r>
      <w:r w:rsidR="009B1D4D">
        <w:t>Since this section lays out the course objectives, it will help guide my studying since I will have</w:t>
      </w:r>
      <w:r w:rsidR="00E52170">
        <w:t xml:space="preserve"> a</w:t>
      </w:r>
      <w:r w:rsidR="009B1D4D">
        <w:t xml:space="preserve"> vivid i</w:t>
      </w:r>
      <w:r w:rsidR="00501948">
        <w:t>mage of what is expected of me. The section  will also be used in recapping and reflecting on all the content covered in each chapter of the text.</w:t>
      </w:r>
    </w:p>
    <w:p w:rsidR="00285B19" w:rsidRDefault="00285B19" w:rsidP="00285B19">
      <w:pPr>
        <w:spacing w:after="0"/>
        <w:jc w:val="center"/>
      </w:pPr>
    </w:p>
    <w:p w:rsidR="00285B19" w:rsidRDefault="00285B19" w:rsidP="00501948">
      <w:pPr>
        <w:spacing w:after="0"/>
      </w:pPr>
    </w:p>
    <w:p w:rsidR="00285B19" w:rsidRDefault="00285B19" w:rsidP="00285B19">
      <w:pPr>
        <w:spacing w:after="0"/>
        <w:jc w:val="center"/>
      </w:pPr>
    </w:p>
    <w:p w:rsidR="00AA4981" w:rsidRPr="00285B19" w:rsidRDefault="00E27EF1" w:rsidP="00285B19">
      <w:pPr>
        <w:spacing w:after="0"/>
        <w:jc w:val="center"/>
      </w:pPr>
      <w:r w:rsidRPr="00285B19">
        <w:t>Reference</w:t>
      </w:r>
      <w:r w:rsidR="00285B19">
        <w:t>s</w:t>
      </w:r>
    </w:p>
    <w:p w:rsidR="00AA4981" w:rsidRPr="00285B19" w:rsidRDefault="00E27EF1" w:rsidP="00285B19">
      <w:pPr>
        <w:spacing w:after="0"/>
        <w:ind w:left="720" w:hanging="720"/>
      </w:pPr>
      <w:r w:rsidRPr="00285B19">
        <w:t xml:space="preserve">Pearson. (2020). DRI Determination. Pearson Education, Inc. Retrieved from  </w:t>
      </w:r>
      <w:hyperlink r:id="rId7" w:history="1">
        <w:r w:rsidRPr="00285B19">
          <w:rPr>
            <w:rStyle w:val="Hyperlink"/>
          </w:rPr>
          <w:t>https://mediaplayer.pearsoncmg.com/assets/secs-nutrition-animation-dri-determination</w:t>
        </w:r>
      </w:hyperlink>
    </w:p>
    <w:p w:rsidR="00285B19" w:rsidRPr="00285B19" w:rsidRDefault="00285B19" w:rsidP="00285B19">
      <w:pPr>
        <w:spacing w:after="0"/>
        <w:ind w:left="720" w:hanging="720"/>
      </w:pPr>
      <w:r w:rsidRPr="00285B19">
        <w:rPr>
          <w:rFonts w:eastAsia="Arial Unicode MS"/>
          <w:color w:val="000000"/>
          <w:shd w:val="clear" w:color="auto" w:fill="FFFFFF"/>
        </w:rPr>
        <w:t>Thompson, J., &amp;Manore, M. (2015). </w:t>
      </w:r>
      <w:r w:rsidRPr="00285B19">
        <w:rPr>
          <w:rFonts w:eastAsia="Arial Unicode MS"/>
          <w:i/>
          <w:iCs/>
          <w:color w:val="000000"/>
          <w:shd w:val="clear" w:color="auto" w:fill="FFFFFF"/>
        </w:rPr>
        <w:t>Nutrition: An applied approach</w:t>
      </w:r>
      <w:r w:rsidRPr="00285B19">
        <w:rPr>
          <w:rFonts w:eastAsia="Arial Unicode MS"/>
          <w:color w:val="000000"/>
          <w:shd w:val="clear" w:color="auto" w:fill="FFFFFF"/>
        </w:rPr>
        <w:t>. Pearson Education.</w:t>
      </w:r>
    </w:p>
    <w:p w:rsidR="00B20C0E" w:rsidRPr="00285B19" w:rsidRDefault="00B20C0E" w:rsidP="00285B19">
      <w:pPr>
        <w:spacing w:after="0"/>
        <w:jc w:val="center"/>
      </w:pPr>
    </w:p>
    <w:sectPr w:rsidR="00B20C0E" w:rsidRPr="00285B19"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0F9" w:rsidRDefault="005040F9">
      <w:pPr>
        <w:spacing w:after="0" w:line="240" w:lineRule="auto"/>
      </w:pPr>
      <w:r>
        <w:separator/>
      </w:r>
    </w:p>
  </w:endnote>
  <w:endnote w:type="continuationSeparator" w:id="1">
    <w:p w:rsidR="005040F9" w:rsidRDefault="005040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0F9" w:rsidRDefault="005040F9">
      <w:pPr>
        <w:spacing w:after="0" w:line="240" w:lineRule="auto"/>
      </w:pPr>
      <w:r>
        <w:separator/>
      </w:r>
    </w:p>
  </w:footnote>
  <w:footnote w:type="continuationSeparator" w:id="1">
    <w:p w:rsidR="005040F9" w:rsidRDefault="005040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E27EF1" w:rsidP="00B90E54">
        <w:r>
          <w:t>DRI DETERMINATION OVERVIEW</w:t>
        </w:r>
        <w:r w:rsidR="00654269">
          <w:tab/>
        </w:r>
        <w:r w:rsidR="00706D37">
          <w:tab/>
        </w:r>
        <w:r w:rsidR="00706D37">
          <w:tab/>
        </w:r>
        <w:r w:rsidR="00B20C0E">
          <w:tab/>
        </w:r>
        <w:r w:rsidR="0007681D">
          <w:tab/>
        </w:r>
        <w:r w:rsidR="00B90E54">
          <w:tab/>
        </w:r>
        <w:r w:rsidR="004F430B">
          <w:tab/>
        </w:r>
        <w:r w:rsidR="00077CD1">
          <w:fldChar w:fldCharType="begin"/>
        </w:r>
        <w:r w:rsidR="00532362">
          <w:instrText xml:space="preserve"> PAGE   \* MERGEFORMAT </w:instrText>
        </w:r>
        <w:r w:rsidR="00077CD1">
          <w:fldChar w:fldCharType="separate"/>
        </w:r>
        <w:r w:rsidR="002027C1">
          <w:rPr>
            <w:noProof/>
          </w:rPr>
          <w:t>1</w:t>
        </w:r>
        <w:r w:rsidR="00077CD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E27EF1" w:rsidP="00AA4981">
    <w:r>
      <w:t xml:space="preserve">Running </w:t>
    </w:r>
    <w:r w:rsidR="002027C1">
      <w:t>head: DRI</w:t>
    </w:r>
    <w:r w:rsidR="00AA4981">
      <w:t xml:space="preserve"> DETERMINATION OVERVIEW</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19B238CE">
      <w:start w:val="1"/>
      <w:numFmt w:val="decimal"/>
      <w:lvlText w:val="%1."/>
      <w:lvlJc w:val="left"/>
      <w:pPr>
        <w:ind w:left="720" w:hanging="360"/>
      </w:pPr>
    </w:lvl>
    <w:lvl w:ilvl="1" w:tplc="9B800292">
      <w:start w:val="1"/>
      <w:numFmt w:val="lowerLetter"/>
      <w:lvlText w:val="%2."/>
      <w:lvlJc w:val="left"/>
      <w:pPr>
        <w:ind w:left="1440" w:hanging="360"/>
      </w:pPr>
    </w:lvl>
    <w:lvl w:ilvl="2" w:tplc="F02698C0">
      <w:start w:val="1"/>
      <w:numFmt w:val="lowerRoman"/>
      <w:lvlText w:val="%3."/>
      <w:lvlJc w:val="right"/>
      <w:pPr>
        <w:ind w:left="2160" w:hanging="180"/>
      </w:pPr>
    </w:lvl>
    <w:lvl w:ilvl="3" w:tplc="A614C476">
      <w:start w:val="1"/>
      <w:numFmt w:val="decimal"/>
      <w:lvlText w:val="%4."/>
      <w:lvlJc w:val="left"/>
      <w:pPr>
        <w:ind w:left="2880" w:hanging="360"/>
      </w:pPr>
    </w:lvl>
    <w:lvl w:ilvl="4" w:tplc="6EF65AD0">
      <w:start w:val="1"/>
      <w:numFmt w:val="lowerLetter"/>
      <w:lvlText w:val="%5."/>
      <w:lvlJc w:val="left"/>
      <w:pPr>
        <w:ind w:left="3600" w:hanging="360"/>
      </w:pPr>
    </w:lvl>
    <w:lvl w:ilvl="5" w:tplc="73C0EA36">
      <w:start w:val="1"/>
      <w:numFmt w:val="lowerRoman"/>
      <w:lvlText w:val="%6."/>
      <w:lvlJc w:val="right"/>
      <w:pPr>
        <w:ind w:left="4320" w:hanging="180"/>
      </w:pPr>
    </w:lvl>
    <w:lvl w:ilvl="6" w:tplc="9970F4D4">
      <w:start w:val="1"/>
      <w:numFmt w:val="decimal"/>
      <w:lvlText w:val="%7."/>
      <w:lvlJc w:val="left"/>
      <w:pPr>
        <w:ind w:left="5040" w:hanging="360"/>
      </w:pPr>
    </w:lvl>
    <w:lvl w:ilvl="7" w:tplc="33D04330">
      <w:start w:val="1"/>
      <w:numFmt w:val="lowerLetter"/>
      <w:lvlText w:val="%8."/>
      <w:lvlJc w:val="left"/>
      <w:pPr>
        <w:ind w:left="5760" w:hanging="360"/>
      </w:pPr>
    </w:lvl>
    <w:lvl w:ilvl="8" w:tplc="FE74301E">
      <w:start w:val="1"/>
      <w:numFmt w:val="lowerRoman"/>
      <w:lvlText w:val="%9."/>
      <w:lvlJc w:val="right"/>
      <w:pPr>
        <w:ind w:left="6480" w:hanging="180"/>
      </w:pPr>
    </w:lvl>
  </w:abstractNum>
  <w:abstractNum w:abstractNumId="1">
    <w:nsid w:val="5C795F60"/>
    <w:multiLevelType w:val="hybridMultilevel"/>
    <w:tmpl w:val="7D90675A"/>
    <w:lvl w:ilvl="0" w:tplc="D9287ECA">
      <w:start w:val="1"/>
      <w:numFmt w:val="decimal"/>
      <w:lvlText w:val="%1."/>
      <w:lvlJc w:val="left"/>
      <w:pPr>
        <w:ind w:left="720" w:hanging="360"/>
      </w:pPr>
    </w:lvl>
    <w:lvl w:ilvl="1" w:tplc="7BEED470" w:tentative="1">
      <w:start w:val="1"/>
      <w:numFmt w:val="lowerLetter"/>
      <w:lvlText w:val="%2."/>
      <w:lvlJc w:val="left"/>
      <w:pPr>
        <w:ind w:left="1440" w:hanging="360"/>
      </w:pPr>
    </w:lvl>
    <w:lvl w:ilvl="2" w:tplc="6D9C796E" w:tentative="1">
      <w:start w:val="1"/>
      <w:numFmt w:val="lowerRoman"/>
      <w:lvlText w:val="%3."/>
      <w:lvlJc w:val="right"/>
      <w:pPr>
        <w:ind w:left="2160" w:hanging="180"/>
      </w:pPr>
    </w:lvl>
    <w:lvl w:ilvl="3" w:tplc="DA9AFA34" w:tentative="1">
      <w:start w:val="1"/>
      <w:numFmt w:val="decimal"/>
      <w:lvlText w:val="%4."/>
      <w:lvlJc w:val="left"/>
      <w:pPr>
        <w:ind w:left="2880" w:hanging="360"/>
      </w:pPr>
    </w:lvl>
    <w:lvl w:ilvl="4" w:tplc="3D263594" w:tentative="1">
      <w:start w:val="1"/>
      <w:numFmt w:val="lowerLetter"/>
      <w:lvlText w:val="%5."/>
      <w:lvlJc w:val="left"/>
      <w:pPr>
        <w:ind w:left="3600" w:hanging="360"/>
      </w:pPr>
    </w:lvl>
    <w:lvl w:ilvl="5" w:tplc="C8723F80" w:tentative="1">
      <w:start w:val="1"/>
      <w:numFmt w:val="lowerRoman"/>
      <w:lvlText w:val="%6."/>
      <w:lvlJc w:val="right"/>
      <w:pPr>
        <w:ind w:left="4320" w:hanging="180"/>
      </w:pPr>
    </w:lvl>
    <w:lvl w:ilvl="6" w:tplc="622220E2" w:tentative="1">
      <w:start w:val="1"/>
      <w:numFmt w:val="decimal"/>
      <w:lvlText w:val="%7."/>
      <w:lvlJc w:val="left"/>
      <w:pPr>
        <w:ind w:left="5040" w:hanging="360"/>
      </w:pPr>
    </w:lvl>
    <w:lvl w:ilvl="7" w:tplc="C67CF962" w:tentative="1">
      <w:start w:val="1"/>
      <w:numFmt w:val="lowerLetter"/>
      <w:lvlText w:val="%8."/>
      <w:lvlJc w:val="left"/>
      <w:pPr>
        <w:ind w:left="5760" w:hanging="360"/>
      </w:pPr>
    </w:lvl>
    <w:lvl w:ilvl="8" w:tplc="CAFE04B0"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77CD1"/>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27C1"/>
    <w:rsid w:val="002040E1"/>
    <w:rsid w:val="00221D8C"/>
    <w:rsid w:val="00222A91"/>
    <w:rsid w:val="002230CA"/>
    <w:rsid w:val="00224B84"/>
    <w:rsid w:val="00226102"/>
    <w:rsid w:val="00230C0D"/>
    <w:rsid w:val="00234367"/>
    <w:rsid w:val="00235312"/>
    <w:rsid w:val="00236394"/>
    <w:rsid w:val="002375D6"/>
    <w:rsid w:val="002424E9"/>
    <w:rsid w:val="00252077"/>
    <w:rsid w:val="002522ED"/>
    <w:rsid w:val="00257328"/>
    <w:rsid w:val="00263056"/>
    <w:rsid w:val="00264F9F"/>
    <w:rsid w:val="00270B66"/>
    <w:rsid w:val="00270F48"/>
    <w:rsid w:val="0027172D"/>
    <w:rsid w:val="00273469"/>
    <w:rsid w:val="00275BCF"/>
    <w:rsid w:val="00280555"/>
    <w:rsid w:val="00284F99"/>
    <w:rsid w:val="00285B19"/>
    <w:rsid w:val="0029052F"/>
    <w:rsid w:val="002A004A"/>
    <w:rsid w:val="002A0081"/>
    <w:rsid w:val="002A3C91"/>
    <w:rsid w:val="002A4929"/>
    <w:rsid w:val="002A49CA"/>
    <w:rsid w:val="002A5B76"/>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01948"/>
    <w:rsid w:val="005040F9"/>
    <w:rsid w:val="00510EFD"/>
    <w:rsid w:val="00521C71"/>
    <w:rsid w:val="005235EF"/>
    <w:rsid w:val="005245AD"/>
    <w:rsid w:val="00524F48"/>
    <w:rsid w:val="00532362"/>
    <w:rsid w:val="00534A77"/>
    <w:rsid w:val="005352A8"/>
    <w:rsid w:val="00536BD2"/>
    <w:rsid w:val="00537403"/>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1EE9"/>
    <w:rsid w:val="005A5B60"/>
    <w:rsid w:val="005A62AB"/>
    <w:rsid w:val="005A7703"/>
    <w:rsid w:val="005B0303"/>
    <w:rsid w:val="005B4525"/>
    <w:rsid w:val="005B4A5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A56BD"/>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38"/>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978A6"/>
    <w:rsid w:val="009A113B"/>
    <w:rsid w:val="009A466A"/>
    <w:rsid w:val="009B109B"/>
    <w:rsid w:val="009B1D4D"/>
    <w:rsid w:val="009B68F7"/>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1860"/>
    <w:rsid w:val="00A8277A"/>
    <w:rsid w:val="00A85D56"/>
    <w:rsid w:val="00A86930"/>
    <w:rsid w:val="00AA4981"/>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6D4"/>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513CC"/>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46D0"/>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27EF1"/>
    <w:rsid w:val="00E3079C"/>
    <w:rsid w:val="00E340DE"/>
    <w:rsid w:val="00E365A6"/>
    <w:rsid w:val="00E36BC0"/>
    <w:rsid w:val="00E41D8A"/>
    <w:rsid w:val="00E4239C"/>
    <w:rsid w:val="00E426D5"/>
    <w:rsid w:val="00E437A4"/>
    <w:rsid w:val="00E47109"/>
    <w:rsid w:val="00E51469"/>
    <w:rsid w:val="00E52170"/>
    <w:rsid w:val="00E6198A"/>
    <w:rsid w:val="00E61C1B"/>
    <w:rsid w:val="00E63985"/>
    <w:rsid w:val="00E6471C"/>
    <w:rsid w:val="00E67C4D"/>
    <w:rsid w:val="00E716E6"/>
    <w:rsid w:val="00E8114D"/>
    <w:rsid w:val="00E814B6"/>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358F"/>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0F98"/>
    <w:rsid w:val="00FC2A67"/>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diaplayer.pearsoncmg.com/assets/secs-nutrition-animation-dri-determin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2020-05-26T18:39:00Z</dcterms:created>
  <dcterms:modified xsi:type="dcterms:W3CDTF">2020-05-26T18:39:00Z</dcterms:modified>
</cp:coreProperties>
</file>