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D82" w:rsidRPr="00BD38C8" w:rsidRDefault="00A24D82" w:rsidP="003C164E">
      <w:pPr>
        <w:pStyle w:val="Title"/>
      </w:pPr>
    </w:p>
    <w:p w:rsidR="00A24D82" w:rsidRPr="00BD38C8" w:rsidRDefault="00A24D82" w:rsidP="003C164E">
      <w:pPr>
        <w:pStyle w:val="Title"/>
      </w:pPr>
    </w:p>
    <w:p w:rsidR="00A24D82" w:rsidRPr="008411A2" w:rsidRDefault="00A24D82" w:rsidP="003C164E">
      <w:pPr>
        <w:pStyle w:val="Title"/>
      </w:pPr>
    </w:p>
    <w:p w:rsidR="00543302" w:rsidRPr="008411A2" w:rsidRDefault="00543302" w:rsidP="003C164E">
      <w:pPr>
        <w:pStyle w:val="Title"/>
      </w:pPr>
    </w:p>
    <w:p w:rsidR="00A24D82" w:rsidRPr="008411A2" w:rsidRDefault="00A24D82" w:rsidP="003C164E">
      <w:pPr>
        <w:pStyle w:val="Title"/>
      </w:pPr>
    </w:p>
    <w:p w:rsidR="00A24D82" w:rsidRPr="008411A2" w:rsidRDefault="00A24D82" w:rsidP="003C164E">
      <w:pPr>
        <w:pStyle w:val="Title"/>
      </w:pPr>
    </w:p>
    <w:p w:rsidR="00A24D82" w:rsidRPr="008411A2" w:rsidRDefault="004643D2" w:rsidP="003C164E">
      <w:pPr>
        <w:pStyle w:val="Title"/>
      </w:pPr>
      <w:r>
        <w:t>Deception while Interrogating Suspects</w:t>
      </w:r>
    </w:p>
    <w:p w:rsidR="00A24D82" w:rsidRPr="008411A2" w:rsidRDefault="00A24D82" w:rsidP="003C164E">
      <w:pPr>
        <w:pStyle w:val="Title"/>
      </w:pPr>
      <w:r w:rsidRPr="008411A2">
        <w:t>Student’s Name</w:t>
      </w:r>
    </w:p>
    <w:p w:rsidR="00A24D82" w:rsidRDefault="00A24D82" w:rsidP="003C164E">
      <w:pPr>
        <w:pStyle w:val="Title"/>
      </w:pPr>
      <w:r w:rsidRPr="008411A2">
        <w:t>Institution</w:t>
      </w:r>
    </w:p>
    <w:p w:rsidR="00A24D82" w:rsidRDefault="00A24D82" w:rsidP="003C164E">
      <w:pPr>
        <w:pStyle w:val="Title"/>
      </w:pPr>
      <w:r>
        <w:br w:type="page"/>
      </w:r>
    </w:p>
    <w:p w:rsidR="004643D2" w:rsidRDefault="00084104" w:rsidP="008411A2">
      <w:pPr>
        <w:pStyle w:val="Title"/>
      </w:pPr>
      <w:r>
        <w:lastRenderedPageBreak/>
        <w:t>Lying</w:t>
      </w:r>
      <w:r w:rsidR="004643D2">
        <w:t xml:space="preserve"> when Interrogating suspects: Is it justifiable?</w:t>
      </w:r>
    </w:p>
    <w:p w:rsidR="00EA4CF0" w:rsidRPr="00EA4CF0" w:rsidRDefault="00EA4CF0" w:rsidP="00EA4CF0">
      <w:pPr>
        <w:ind w:firstLine="0"/>
      </w:pPr>
      <w:r>
        <w:t>For years authorities including officers, police</w:t>
      </w:r>
      <w:r w:rsidR="006C4D0B">
        <w:t>,</w:t>
      </w:r>
      <w:r>
        <w:t xml:space="preserve"> </w:t>
      </w:r>
      <w:r w:rsidRPr="006C4D0B">
        <w:rPr>
          <w:noProof/>
        </w:rPr>
        <w:t>and</w:t>
      </w:r>
      <w:r>
        <w:t xml:space="preserve"> agents have used deception while interrogating criminals to obtain </w:t>
      </w:r>
      <w:r w:rsidR="006C4D0B">
        <w:t xml:space="preserve">a </w:t>
      </w:r>
      <w:r w:rsidRPr="006C4D0B">
        <w:rPr>
          <w:noProof/>
        </w:rPr>
        <w:t>confession</w:t>
      </w:r>
      <w:r>
        <w:t xml:space="preserve">. </w:t>
      </w:r>
      <w:r w:rsidR="006C4D0B">
        <w:t xml:space="preserve">This </w:t>
      </w:r>
      <w:r w:rsidR="006C4D0B">
        <w:rPr>
          <w:noProof/>
        </w:rPr>
        <w:t>is</w:t>
      </w:r>
      <w:r w:rsidR="006C4D0B">
        <w:t xml:space="preserve"> necessary especially where officers are sure about, </w:t>
      </w:r>
      <w:r w:rsidR="006C4D0B" w:rsidRPr="006C4D0B">
        <w:rPr>
          <w:noProof/>
        </w:rPr>
        <w:t>but</w:t>
      </w:r>
      <w:r w:rsidR="006C4D0B">
        <w:t xml:space="preserve"> they do not possess the needed evidence to prosecute the suspect. When the process is done within the legal means and limits, the whole activity is justified. </w:t>
      </w:r>
      <w:r w:rsidR="006C4D0B" w:rsidRPr="006C4D0B">
        <w:rPr>
          <w:noProof/>
        </w:rPr>
        <w:t>This paper responds</w:t>
      </w:r>
      <w:r w:rsidR="006C4D0B">
        <w:t xml:space="preserve"> to two case scenarios and if the process of lying was justified in </w:t>
      </w:r>
      <w:r w:rsidR="006C4D0B" w:rsidRPr="006C4D0B">
        <w:rPr>
          <w:noProof/>
        </w:rPr>
        <w:t>any</w:t>
      </w:r>
      <w:r w:rsidR="006C4D0B">
        <w:t xml:space="preserve"> of the </w:t>
      </w:r>
      <w:r w:rsidR="006C4D0B" w:rsidRPr="006C4D0B">
        <w:rPr>
          <w:noProof/>
        </w:rPr>
        <w:t>scene</w:t>
      </w:r>
      <w:r w:rsidR="006C4D0B">
        <w:rPr>
          <w:noProof/>
        </w:rPr>
        <w:t>s</w:t>
      </w:r>
      <w:r w:rsidR="006C4D0B">
        <w:t xml:space="preserve">. </w:t>
      </w:r>
    </w:p>
    <w:p w:rsidR="004643D2" w:rsidRDefault="004643D2" w:rsidP="00EA4CF0">
      <w:pPr>
        <w:jc w:val="center"/>
      </w:pPr>
      <w:r>
        <w:t>Is lying justifiable in either of the above scenarios?</w:t>
      </w:r>
    </w:p>
    <w:p w:rsidR="002D1E45" w:rsidRDefault="002D1E45" w:rsidP="004643D2">
      <w:r>
        <w:t xml:space="preserve">From the two scenarios which </w:t>
      </w:r>
      <w:r w:rsidRPr="00EA4CF0">
        <w:rPr>
          <w:noProof/>
        </w:rPr>
        <w:t>involve</w:t>
      </w:r>
      <w:r>
        <w:t xml:space="preserve"> burglary and terrorism, the authorities are justifiable to lie to the suspects so as to increase the chances</w:t>
      </w:r>
      <w:r w:rsidR="004E412C">
        <w:t xml:space="preserve"> of obtaining the evidence that they do not possess. Again, the witnesses have a chance of seeking legal rights presentation which in this case none did. The authorities in these two scenarios </w:t>
      </w:r>
      <w:r w:rsidR="004E412C" w:rsidRPr="00EA4CF0">
        <w:rPr>
          <w:noProof/>
        </w:rPr>
        <w:t>use</w:t>
      </w:r>
      <w:r w:rsidR="004E412C">
        <w:t xml:space="preserve"> the psychological tricks which have proven effective before. The suspects have a chance of not admitting anything</w:t>
      </w:r>
      <w:r w:rsidR="00EA4CF0">
        <w:t>,</w:t>
      </w:r>
      <w:r w:rsidR="004E412C">
        <w:t xml:space="preserve"> </w:t>
      </w:r>
      <w:r w:rsidR="004E412C" w:rsidRPr="00EA4CF0">
        <w:rPr>
          <w:noProof/>
        </w:rPr>
        <w:t>but</w:t>
      </w:r>
      <w:r w:rsidR="004E412C">
        <w:t xml:space="preserve"> they did the opposite which was to admit </w:t>
      </w:r>
      <w:r w:rsidR="004E412C" w:rsidRPr="00EA4CF0">
        <w:rPr>
          <w:noProof/>
        </w:rPr>
        <w:t>the</w:t>
      </w:r>
      <w:r w:rsidR="004E412C">
        <w:t xml:space="preserve"> crime, thus making the whole activity of lying about the evidence justifiable.</w:t>
      </w:r>
      <w:r>
        <w:t xml:space="preserve"> </w:t>
      </w:r>
    </w:p>
    <w:p w:rsidR="004643D2" w:rsidRDefault="004643D2" w:rsidP="00EA4CF0">
      <w:pPr>
        <w:jc w:val="center"/>
      </w:pPr>
      <w:r>
        <w:t>In the first scenario, would the confession be admissible in court?</w:t>
      </w:r>
    </w:p>
    <w:p w:rsidR="005B35E0" w:rsidRDefault="005B35E0" w:rsidP="004643D2">
      <w:r>
        <w:t>The confession in the first scenario should be admissible in the court of law due to the following facts;</w:t>
      </w:r>
    </w:p>
    <w:p w:rsidR="004E412C" w:rsidRDefault="004E412C" w:rsidP="004643D2">
      <w:r>
        <w:t xml:space="preserve">The constitutional law clearly outlines ways through which interrogation should be conducted. The authority representing the government should not in </w:t>
      </w:r>
      <w:r w:rsidRPr="00EA4CF0">
        <w:rPr>
          <w:noProof/>
        </w:rPr>
        <w:t>any</w:t>
      </w:r>
      <w:r w:rsidR="00EA4CF0">
        <w:rPr>
          <w:noProof/>
        </w:rPr>
        <w:t xml:space="preserve"> </w:t>
      </w:r>
      <w:r w:rsidRPr="00EA4CF0">
        <w:rPr>
          <w:noProof/>
        </w:rPr>
        <w:t>way</w:t>
      </w:r>
      <w:r>
        <w:t xml:space="preserve"> coerce the confession from the suspects as indicated by the </w:t>
      </w:r>
      <w:r w:rsidR="005C5B15">
        <w:t>5</w:t>
      </w:r>
      <w:r w:rsidR="005C5B15" w:rsidRPr="005C5B15">
        <w:rPr>
          <w:vertAlign w:val="superscript"/>
        </w:rPr>
        <w:t>th</w:t>
      </w:r>
      <w:r w:rsidR="005C5B15">
        <w:t xml:space="preserve"> </w:t>
      </w:r>
      <w:bookmarkStart w:id="0" w:name="_GoBack"/>
      <w:bookmarkEnd w:id="0"/>
      <w:r>
        <w:t>amendment which prevents against self-incrim</w:t>
      </w:r>
      <w:r w:rsidR="005B35E0">
        <w:t xml:space="preserve">inating and prohibits against </w:t>
      </w:r>
      <w:r w:rsidR="00EA4CF0">
        <w:t xml:space="preserve">the </w:t>
      </w:r>
      <w:r w:rsidR="005B35E0" w:rsidRPr="00EA4CF0">
        <w:rPr>
          <w:noProof/>
        </w:rPr>
        <w:t>admission</w:t>
      </w:r>
      <w:r w:rsidR="005B35E0">
        <w:t xml:space="preserve"> of unintentional confessions in the court of law. To determine the admissibility of the confession, the court itself </w:t>
      </w:r>
      <w:r w:rsidR="005B35E0" w:rsidRPr="00EA4CF0">
        <w:rPr>
          <w:noProof/>
        </w:rPr>
        <w:t>carrie</w:t>
      </w:r>
      <w:r w:rsidR="00EA4CF0">
        <w:rPr>
          <w:noProof/>
        </w:rPr>
        <w:t>d</w:t>
      </w:r>
      <w:r w:rsidR="005B35E0">
        <w:t xml:space="preserve"> out the research and lay out the facts that lead to the confession including the state and circumstances to the suspect at </w:t>
      </w:r>
      <w:r w:rsidR="005B35E0">
        <w:lastRenderedPageBreak/>
        <w:t>that particular time which include the age of the accused and the mental health. Additionally, the circumstances following the obtaining of the confession and how the authority conducted itself are usually considered (LaFave, Israel &amp; King, 2004)</w:t>
      </w:r>
    </w:p>
    <w:p w:rsidR="00222F39" w:rsidRDefault="00222F39" w:rsidP="004643D2">
      <w:r>
        <w:t xml:space="preserve">As </w:t>
      </w:r>
      <w:r w:rsidR="00EA4CF0">
        <w:t xml:space="preserve">a </w:t>
      </w:r>
      <w:r w:rsidRPr="00EA4CF0">
        <w:rPr>
          <w:noProof/>
        </w:rPr>
        <w:t>result</w:t>
      </w:r>
      <w:r>
        <w:t xml:space="preserve">, the confession has to be voluntary without any police interference </w:t>
      </w:r>
      <w:r w:rsidRPr="00EA4CF0">
        <w:rPr>
          <w:noProof/>
        </w:rPr>
        <w:t>th</w:t>
      </w:r>
      <w:r w:rsidR="00EA4CF0">
        <w:rPr>
          <w:noProof/>
        </w:rPr>
        <w:t>r</w:t>
      </w:r>
      <w:r w:rsidRPr="00EA4CF0">
        <w:rPr>
          <w:noProof/>
        </w:rPr>
        <w:t>ough</w:t>
      </w:r>
      <w:r>
        <w:t xml:space="preserve"> any coercive measures including </w:t>
      </w:r>
      <w:r w:rsidR="00EA4CF0">
        <w:t xml:space="preserve">the </w:t>
      </w:r>
      <w:r w:rsidRPr="00EA4CF0">
        <w:rPr>
          <w:noProof/>
        </w:rPr>
        <w:t>use</w:t>
      </w:r>
      <w:r>
        <w:t xml:space="preserve"> of physical force on the suspects. However, they are allowed to some very powerful psychological plays to obtain confessions from the criminal suspects which includes lying. Courts in the United States have allowed police to use lies such as their partners had confessed and </w:t>
      </w:r>
      <w:r w:rsidR="00031035">
        <w:t xml:space="preserve">some satellite pictures had captured the </w:t>
      </w:r>
      <w:r w:rsidR="00031035" w:rsidRPr="00EA4CF0">
        <w:rPr>
          <w:noProof/>
        </w:rPr>
        <w:t>suspect</w:t>
      </w:r>
      <w:r w:rsidR="00EA4CF0">
        <w:rPr>
          <w:noProof/>
        </w:rPr>
        <w:t>'</w:t>
      </w:r>
      <w:r w:rsidR="00031035" w:rsidRPr="00EA4CF0">
        <w:rPr>
          <w:noProof/>
        </w:rPr>
        <w:t>s</w:t>
      </w:r>
      <w:r w:rsidR="00031035">
        <w:t xml:space="preserve"> images committing the said crime (Stone, 1977). In this case </w:t>
      </w:r>
      <w:r w:rsidR="00031035" w:rsidRPr="00EA4CF0">
        <w:rPr>
          <w:noProof/>
        </w:rPr>
        <w:t>scenario</w:t>
      </w:r>
      <w:r w:rsidR="00EA4CF0">
        <w:rPr>
          <w:noProof/>
        </w:rPr>
        <w:t>,</w:t>
      </w:r>
      <w:r w:rsidR="00031035">
        <w:t xml:space="preserve"> the suspect was only told of the presence of the fingerprints and eyewitness which prompted him to confess. Therefore, the confession would be admissible in the court of law since the suspect was never coerced to admit his crime. </w:t>
      </w:r>
    </w:p>
    <w:p w:rsidR="004643D2" w:rsidRDefault="004643D2" w:rsidP="00EA4CF0">
      <w:pPr>
        <w:jc w:val="center"/>
      </w:pPr>
      <w:r>
        <w:t xml:space="preserve">Is there a </w:t>
      </w:r>
      <w:r w:rsidRPr="00031035">
        <w:t>distinction</w:t>
      </w:r>
      <w:r>
        <w:t xml:space="preserve"> between the two Scenarios and/ or should there be?</w:t>
      </w:r>
    </w:p>
    <w:p w:rsidR="00031035" w:rsidRDefault="00031035" w:rsidP="004643D2">
      <w:r>
        <w:t xml:space="preserve">There is </w:t>
      </w:r>
      <w:r w:rsidR="00EA4CF0">
        <w:t xml:space="preserve">a </w:t>
      </w:r>
      <w:r w:rsidRPr="00EA4CF0">
        <w:rPr>
          <w:noProof/>
        </w:rPr>
        <w:t>distinction</w:t>
      </w:r>
      <w:r>
        <w:t xml:space="preserve"> between the two scenarios. The first </w:t>
      </w:r>
      <w:r w:rsidRPr="00EA4CF0">
        <w:rPr>
          <w:noProof/>
        </w:rPr>
        <w:t>scen</w:t>
      </w:r>
      <w:r w:rsidR="00EA4CF0">
        <w:rPr>
          <w:noProof/>
        </w:rPr>
        <w:t>e</w:t>
      </w:r>
      <w:r>
        <w:t xml:space="preserve"> inv</w:t>
      </w:r>
      <w:r w:rsidR="00DD1ECF">
        <w:t xml:space="preserve">olving a </w:t>
      </w:r>
      <w:r w:rsidR="00DD1ECF" w:rsidRPr="00DD1ECF">
        <w:t>burglar</w:t>
      </w:r>
      <w:r w:rsidR="00DD1ECF">
        <w:t xml:space="preserve"> is not as serious as such though it is a crime too. The suspect does not cause much harm in the society since the only motive is to steal which leads to the loss of property of the owners. Therefore, the authority </w:t>
      </w:r>
      <w:r w:rsidR="00EA4CF0">
        <w:rPr>
          <w:noProof/>
        </w:rPr>
        <w:t>o</w:t>
      </w:r>
      <w:r w:rsidR="00DD1ECF" w:rsidRPr="00EA4CF0">
        <w:rPr>
          <w:noProof/>
        </w:rPr>
        <w:t>ught</w:t>
      </w:r>
      <w:r w:rsidR="00DD1ECF">
        <w:t xml:space="preserve"> to have used a different approach. On the other hand, terrorism is such a serious crime which leads to possible loss of multiple lives and include significant damages which have </w:t>
      </w:r>
      <w:r w:rsidR="00EA4CF0">
        <w:t xml:space="preserve">an </w:t>
      </w:r>
      <w:r w:rsidR="00DD1ECF" w:rsidRPr="00EA4CF0">
        <w:rPr>
          <w:noProof/>
        </w:rPr>
        <w:t>adverse</w:t>
      </w:r>
      <w:r w:rsidR="00DD1ECF">
        <w:t xml:space="preserve"> negative impact on the subject countries. As a result, the authority should use any legal means possible to </w:t>
      </w:r>
      <w:r w:rsidR="00DD1ECF" w:rsidRPr="00DD1ECF">
        <w:t>convict</w:t>
      </w:r>
      <w:r w:rsidR="00DD1ECF">
        <w:t xml:space="preserve"> and charge the criminals involved including lying where necessary. </w:t>
      </w:r>
    </w:p>
    <w:p w:rsidR="004643D2" w:rsidRDefault="004643D2" w:rsidP="00EA4CF0">
      <w:pPr>
        <w:jc w:val="center"/>
      </w:pPr>
      <w:r>
        <w:t>Does lying</w:t>
      </w:r>
      <w:r w:rsidR="00EA4CF0">
        <w:t>, in either case,</w:t>
      </w:r>
      <w:r>
        <w:t xml:space="preserve"> affect the credibility of the officers or agents?</w:t>
      </w:r>
    </w:p>
    <w:p w:rsidR="00DD1ECF" w:rsidRDefault="00DD1ECF" w:rsidP="004643D2">
      <w:r>
        <w:lastRenderedPageBreak/>
        <w:t xml:space="preserve">Lying in either case scenario does not in </w:t>
      </w:r>
      <w:r w:rsidRPr="00EA4CF0">
        <w:rPr>
          <w:noProof/>
        </w:rPr>
        <w:t>any</w:t>
      </w:r>
      <w:r w:rsidR="00EA4CF0">
        <w:rPr>
          <w:noProof/>
        </w:rPr>
        <w:t xml:space="preserve"> </w:t>
      </w:r>
      <w:r w:rsidRPr="00EA4CF0">
        <w:rPr>
          <w:noProof/>
        </w:rPr>
        <w:t>way</w:t>
      </w:r>
      <w:r>
        <w:t xml:space="preserve"> affect the credibility of the officers and agents involved. By lying to the suspects, they do not infringe in any rights of the individuals. Such methods which </w:t>
      </w:r>
      <w:r w:rsidRPr="00EA4CF0">
        <w:rPr>
          <w:noProof/>
        </w:rPr>
        <w:t>involve</w:t>
      </w:r>
      <w:r>
        <w:t xml:space="preserve"> deception have been used before which have yielded positive result leading to multiple convictions of criminals </w:t>
      </w:r>
      <w:r w:rsidRPr="00EA4CF0">
        <w:rPr>
          <w:noProof/>
        </w:rPr>
        <w:t>who</w:t>
      </w:r>
      <w:r>
        <w:t xml:space="preserve"> would have otherwise escaped the justice. When the methodology is well conducted within the legal means such in the case scenarios</w:t>
      </w:r>
      <w:r w:rsidR="00EA4CF0">
        <w:t xml:space="preserve">, it does not affect the credibility of the result or agents involved. </w:t>
      </w:r>
      <w:r>
        <w:t xml:space="preserve"> </w:t>
      </w:r>
    </w:p>
    <w:p w:rsidR="005B35E0" w:rsidRDefault="004643D2" w:rsidP="00EA4CF0">
      <w:pPr>
        <w:jc w:val="center"/>
      </w:pPr>
      <w:r>
        <w:t>Would these falsehoods or lies be something that would have to be mentioned in the officers’ and or agent’s investigative reports?</w:t>
      </w:r>
    </w:p>
    <w:p w:rsidR="00EA4CF0" w:rsidRDefault="00EA4CF0" w:rsidP="004643D2">
      <w:r>
        <w:t xml:space="preserve">It is important for the methodologies used to obtain confession be included in the reports. For one, it is the requirement by the law to record the interrogations and all the methods involved by the authorities representing the government. Additionally, failure to include the ways through which the evidence was obtained, in case the suspects changes their confessions and claim that they were coerced, the court is obligated to carry its research on the matter which would lead to the investigation of the conduct of officers and agents involved. If in </w:t>
      </w:r>
      <w:r w:rsidRPr="00EA4CF0">
        <w:rPr>
          <w:noProof/>
        </w:rPr>
        <w:t>any</w:t>
      </w:r>
      <w:r>
        <w:rPr>
          <w:noProof/>
        </w:rPr>
        <w:t xml:space="preserve"> </w:t>
      </w:r>
      <w:r w:rsidRPr="00EA4CF0">
        <w:rPr>
          <w:noProof/>
        </w:rPr>
        <w:t>way</w:t>
      </w:r>
      <w:r>
        <w:t xml:space="preserve"> such was used and not indicated the suspect would not be charged by the court leading to their release. To avoid such from happening officers and agents involved should include it in their investigative reports including the copy of videos if any exist.</w:t>
      </w:r>
    </w:p>
    <w:p w:rsidR="005B35E0" w:rsidRDefault="005B35E0">
      <w:pPr>
        <w:spacing w:before="100" w:beforeAutospacing="1" w:after="160" w:afterAutospacing="0"/>
        <w:ind w:firstLine="0"/>
        <w:contextualSpacing w:val="0"/>
        <w:jc w:val="center"/>
      </w:pPr>
      <w:r>
        <w:br w:type="page"/>
      </w:r>
    </w:p>
    <w:p w:rsidR="004643D2" w:rsidRDefault="005B35E0" w:rsidP="00EA4CF0">
      <w:pPr>
        <w:jc w:val="center"/>
      </w:pPr>
      <w:r>
        <w:lastRenderedPageBreak/>
        <w:t>References</w:t>
      </w:r>
    </w:p>
    <w:p w:rsidR="005B35E0" w:rsidRPr="00EA4CF0" w:rsidRDefault="005B35E0" w:rsidP="004809B3">
      <w:pPr>
        <w:ind w:left="720" w:hanging="720"/>
        <w:rPr>
          <w:color w:val="222222"/>
          <w:shd w:val="clear" w:color="auto" w:fill="F8F8F8"/>
        </w:rPr>
      </w:pPr>
      <w:r w:rsidRPr="00EA4CF0">
        <w:rPr>
          <w:color w:val="222222"/>
          <w:shd w:val="clear" w:color="auto" w:fill="F8F8F8"/>
        </w:rPr>
        <w:t>LaFave, W. R., Israel, J. H., &amp; King, N. J. (2004). </w:t>
      </w:r>
      <w:r w:rsidRPr="00EA4CF0">
        <w:rPr>
          <w:i/>
          <w:iCs/>
          <w:color w:val="222222"/>
          <w:shd w:val="clear" w:color="auto" w:fill="F8F8F8"/>
        </w:rPr>
        <w:t>Principles of criminal procedure: Investigation</w:t>
      </w:r>
      <w:r w:rsidRPr="00EA4CF0">
        <w:rPr>
          <w:color w:val="222222"/>
          <w:shd w:val="clear" w:color="auto" w:fill="F8F8F8"/>
        </w:rPr>
        <w:t>. West Group.</w:t>
      </w:r>
    </w:p>
    <w:p w:rsidR="00031035" w:rsidRPr="00EA4CF0" w:rsidRDefault="00031035" w:rsidP="004809B3">
      <w:pPr>
        <w:ind w:left="720" w:hanging="720"/>
      </w:pPr>
      <w:r w:rsidRPr="00EA4CF0">
        <w:rPr>
          <w:color w:val="222222"/>
          <w:shd w:val="clear" w:color="auto" w:fill="F8F8F8"/>
        </w:rPr>
        <w:t>Stone, Geoffrey R. "The Miranda Doctrine in the Burger Court." </w:t>
      </w:r>
      <w:r w:rsidRPr="00EA4CF0">
        <w:rPr>
          <w:i/>
          <w:iCs/>
          <w:color w:val="222222"/>
          <w:shd w:val="clear" w:color="auto" w:fill="F8F8F8"/>
        </w:rPr>
        <w:t>The Supreme Court Review</w:t>
      </w:r>
      <w:r w:rsidRPr="00EA4CF0">
        <w:rPr>
          <w:color w:val="222222"/>
          <w:shd w:val="clear" w:color="auto" w:fill="F8F8F8"/>
        </w:rPr>
        <w:t> 1977 (1977): 99-169.</w:t>
      </w:r>
    </w:p>
    <w:p w:rsidR="00543302" w:rsidRDefault="00084104" w:rsidP="008411A2">
      <w:pPr>
        <w:pStyle w:val="Title"/>
      </w:pPr>
      <w:r>
        <w:t xml:space="preserve"> </w:t>
      </w:r>
    </w:p>
    <w:p w:rsidR="00084104" w:rsidRPr="00084104" w:rsidRDefault="00084104" w:rsidP="00084104"/>
    <w:p w:rsidR="00084104" w:rsidRPr="00084104" w:rsidRDefault="00084104" w:rsidP="00084104"/>
    <w:p w:rsidR="008411A2" w:rsidRPr="008411A2" w:rsidRDefault="008411A2" w:rsidP="008411A2"/>
    <w:p w:rsidR="00822743" w:rsidRDefault="00822743" w:rsidP="00A24D82">
      <w:pPr>
        <w:spacing w:after="0"/>
      </w:pPr>
    </w:p>
    <w:sectPr w:rsidR="00822743" w:rsidSect="00A24D82">
      <w:headerReference w:type="default" r:id="rId7"/>
      <w:headerReference w:type="first" r:id="rId8"/>
      <w:pgSz w:w="12240" w:h="15840" w:code="1"/>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7C6" w:rsidRDefault="007837C6" w:rsidP="00A24D82">
      <w:pPr>
        <w:spacing w:after="0" w:line="240" w:lineRule="auto"/>
      </w:pPr>
      <w:r>
        <w:separator/>
      </w:r>
    </w:p>
  </w:endnote>
  <w:endnote w:type="continuationSeparator" w:id="0">
    <w:p w:rsidR="007837C6" w:rsidRDefault="007837C6" w:rsidP="00A24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7C6" w:rsidRDefault="007837C6" w:rsidP="00A24D82">
      <w:pPr>
        <w:spacing w:after="0" w:line="240" w:lineRule="auto"/>
      </w:pPr>
      <w:r>
        <w:separator/>
      </w:r>
    </w:p>
  </w:footnote>
  <w:footnote w:type="continuationSeparator" w:id="0">
    <w:p w:rsidR="007837C6" w:rsidRDefault="007837C6" w:rsidP="00A24D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D82" w:rsidRDefault="004643D2" w:rsidP="003C164E">
    <w:pPr>
      <w:pStyle w:val="Header"/>
      <w:ind w:firstLine="0"/>
      <w:jc w:val="right"/>
    </w:pPr>
    <w:r>
      <w:t>DECEPTION WHILE INTERROGATING SUSPECTS</w:t>
    </w:r>
    <w:r w:rsidR="003C164E">
      <w:t xml:space="preserve"> </w:t>
    </w:r>
    <w:r w:rsidR="003C164E">
      <w:ptab w:relativeTo="margin" w:alignment="right" w:leader="none"/>
    </w:r>
    <w:sdt>
      <w:sdtPr>
        <w:id w:val="-1830593448"/>
        <w:docPartObj>
          <w:docPartGallery w:val="Page Numbers (Top of Page)"/>
          <w:docPartUnique/>
        </w:docPartObj>
      </w:sdtPr>
      <w:sdtEndPr>
        <w:rPr>
          <w:noProof/>
        </w:rPr>
      </w:sdtEndPr>
      <w:sdtContent>
        <w:r w:rsidR="00A06099">
          <w:fldChar w:fldCharType="begin"/>
        </w:r>
        <w:r w:rsidR="00A24D82">
          <w:instrText xml:space="preserve"> PAGE   \* MERGEFORMAT </w:instrText>
        </w:r>
        <w:r w:rsidR="00A06099">
          <w:fldChar w:fldCharType="separate"/>
        </w:r>
        <w:r w:rsidR="00E13156">
          <w:rPr>
            <w:noProof/>
          </w:rPr>
          <w:t>5</w:t>
        </w:r>
        <w:r w:rsidR="00A06099">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D82" w:rsidRDefault="00A24D82" w:rsidP="003C164E">
    <w:pPr>
      <w:pStyle w:val="Header"/>
      <w:ind w:firstLine="0"/>
      <w:jc w:val="right"/>
    </w:pPr>
    <w:r>
      <w:t xml:space="preserve">Running </w:t>
    </w:r>
    <w:r w:rsidR="00647414">
      <w:t>h</w:t>
    </w:r>
    <w:r>
      <w:t>ead:</w:t>
    </w:r>
    <w:r w:rsidR="004643D2">
      <w:t xml:space="preserve"> DECEPTION WHILE INTERROGATING SUSPECTS</w:t>
    </w:r>
    <w:r w:rsidR="003C164E">
      <w:ptab w:relativeTo="margin" w:alignment="right" w:leader="none"/>
    </w:r>
    <w:sdt>
      <w:sdtPr>
        <w:id w:val="-104036523"/>
        <w:docPartObj>
          <w:docPartGallery w:val="Page Numbers (Top of Page)"/>
          <w:docPartUnique/>
        </w:docPartObj>
      </w:sdtPr>
      <w:sdtEndPr>
        <w:rPr>
          <w:noProof/>
        </w:rPr>
      </w:sdtEndPr>
      <w:sdtContent>
        <w:r w:rsidR="00A06099">
          <w:fldChar w:fldCharType="begin"/>
        </w:r>
        <w:r>
          <w:instrText xml:space="preserve"> PAGE   \* MERGEFORMAT </w:instrText>
        </w:r>
        <w:r w:rsidR="00A06099">
          <w:fldChar w:fldCharType="separate"/>
        </w:r>
        <w:r w:rsidR="00E13156">
          <w:rPr>
            <w:noProof/>
          </w:rPr>
          <w:t>1</w:t>
        </w:r>
        <w:r w:rsidR="00A06099">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tDCzMDAwNzE0MzQwMzRR0lEKTi0uzszPAykwqgUAKyGZJCwAAAA="/>
  </w:docVars>
  <w:rsids>
    <w:rsidRoot w:val="00084104"/>
    <w:rsid w:val="00031035"/>
    <w:rsid w:val="00047CD3"/>
    <w:rsid w:val="00084104"/>
    <w:rsid w:val="001837B5"/>
    <w:rsid w:val="001857B4"/>
    <w:rsid w:val="00191098"/>
    <w:rsid w:val="002040D0"/>
    <w:rsid w:val="00222F39"/>
    <w:rsid w:val="00261E33"/>
    <w:rsid w:val="00266CFC"/>
    <w:rsid w:val="002C4FA1"/>
    <w:rsid w:val="002D1E45"/>
    <w:rsid w:val="003C164E"/>
    <w:rsid w:val="00461C66"/>
    <w:rsid w:val="004643D2"/>
    <w:rsid w:val="004809B3"/>
    <w:rsid w:val="004E412C"/>
    <w:rsid w:val="00543302"/>
    <w:rsid w:val="00582307"/>
    <w:rsid w:val="005B35E0"/>
    <w:rsid w:val="005C5B15"/>
    <w:rsid w:val="00605A81"/>
    <w:rsid w:val="006343AD"/>
    <w:rsid w:val="00647414"/>
    <w:rsid w:val="006612AE"/>
    <w:rsid w:val="006C4D0B"/>
    <w:rsid w:val="006D617D"/>
    <w:rsid w:val="00753F5B"/>
    <w:rsid w:val="00755D7C"/>
    <w:rsid w:val="007837C6"/>
    <w:rsid w:val="00822743"/>
    <w:rsid w:val="0084014D"/>
    <w:rsid w:val="008411A2"/>
    <w:rsid w:val="00924C5C"/>
    <w:rsid w:val="00A06099"/>
    <w:rsid w:val="00A24D82"/>
    <w:rsid w:val="00A6471F"/>
    <w:rsid w:val="00B10B89"/>
    <w:rsid w:val="00BD2A30"/>
    <w:rsid w:val="00BE47EE"/>
    <w:rsid w:val="00DC0C71"/>
    <w:rsid w:val="00DC5807"/>
    <w:rsid w:val="00DD1ECF"/>
    <w:rsid w:val="00E13156"/>
    <w:rsid w:val="00E31B94"/>
    <w:rsid w:val="00E64B94"/>
    <w:rsid w:val="00EA4CF0"/>
    <w:rsid w:val="00EC6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before="100" w:beforeAutospacing="1"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CF0"/>
    <w:pPr>
      <w:spacing w:before="0" w:beforeAutospacing="0" w:after="100" w:afterAutospacing="1"/>
      <w:ind w:firstLine="720"/>
      <w:contextualSpacing/>
      <w:jc w:val="left"/>
    </w:pPr>
  </w:style>
  <w:style w:type="paragraph" w:styleId="Heading1">
    <w:name w:val="heading 1"/>
    <w:basedOn w:val="Normal"/>
    <w:next w:val="Normal"/>
    <w:link w:val="Heading1Char"/>
    <w:autoRedefine/>
    <w:uiPriority w:val="9"/>
    <w:qFormat/>
    <w:rsid w:val="00BD2A30"/>
    <w:pPr>
      <w:keepNext/>
      <w:keepLines/>
      <w:spacing w:before="100" w:beforeAutospacing="1" w:after="0" w:afterAutospacing="0"/>
      <w:ind w:firstLine="0"/>
      <w:jc w:val="center"/>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BD2A30"/>
    <w:pPr>
      <w:jc w:val="left"/>
      <w:outlineLvl w:val="1"/>
    </w:pPr>
  </w:style>
  <w:style w:type="paragraph" w:styleId="Heading3">
    <w:name w:val="heading 3"/>
    <w:basedOn w:val="Normal"/>
    <w:next w:val="Normal"/>
    <w:link w:val="Heading3Char"/>
    <w:autoRedefine/>
    <w:uiPriority w:val="9"/>
    <w:semiHidden/>
    <w:unhideWhenUsed/>
    <w:qFormat/>
    <w:rsid w:val="00266CFC"/>
    <w:pPr>
      <w:keepNext/>
      <w:keepLines/>
      <w:spacing w:before="40" w:after="0"/>
      <w:ind w:left="720"/>
      <w:outlineLvl w:val="2"/>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A30"/>
    <w:rPr>
      <w:rFonts w:eastAsiaTheme="majorEastAsia" w:cstheme="majorBidi"/>
      <w:b/>
      <w:szCs w:val="32"/>
    </w:rPr>
  </w:style>
  <w:style w:type="paragraph" w:styleId="Header">
    <w:name w:val="header"/>
    <w:basedOn w:val="Normal"/>
    <w:link w:val="HeaderChar"/>
    <w:uiPriority w:val="99"/>
    <w:unhideWhenUsed/>
    <w:rsid w:val="00A24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D82"/>
  </w:style>
  <w:style w:type="paragraph" w:styleId="Footer">
    <w:name w:val="footer"/>
    <w:basedOn w:val="Normal"/>
    <w:link w:val="FooterChar"/>
    <w:uiPriority w:val="99"/>
    <w:unhideWhenUsed/>
    <w:rsid w:val="00A24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D82"/>
  </w:style>
  <w:style w:type="character" w:customStyle="1" w:styleId="Heading2Char">
    <w:name w:val="Heading 2 Char"/>
    <w:basedOn w:val="DefaultParagraphFont"/>
    <w:link w:val="Heading2"/>
    <w:uiPriority w:val="9"/>
    <w:rsid w:val="00BD2A30"/>
    <w:rPr>
      <w:rFonts w:eastAsiaTheme="majorEastAsia" w:cstheme="majorBidi"/>
      <w:b/>
      <w:szCs w:val="32"/>
    </w:rPr>
  </w:style>
  <w:style w:type="character" w:customStyle="1" w:styleId="Heading3Char">
    <w:name w:val="Heading 3 Char"/>
    <w:basedOn w:val="DefaultParagraphFont"/>
    <w:link w:val="Heading3"/>
    <w:uiPriority w:val="9"/>
    <w:semiHidden/>
    <w:rsid w:val="00266CFC"/>
    <w:rPr>
      <w:rFonts w:asciiTheme="majorHAnsi" w:eastAsiaTheme="majorEastAsia" w:hAnsiTheme="majorHAnsi" w:cstheme="majorBidi"/>
      <w:b/>
    </w:rPr>
  </w:style>
  <w:style w:type="paragraph" w:styleId="Title">
    <w:name w:val="Title"/>
    <w:basedOn w:val="Normal"/>
    <w:next w:val="Normal"/>
    <w:link w:val="TitleChar"/>
    <w:uiPriority w:val="10"/>
    <w:qFormat/>
    <w:rsid w:val="001857B4"/>
    <w:pPr>
      <w:spacing w:before="100" w:beforeAutospacing="1"/>
      <w:ind w:firstLine="0"/>
      <w:contextualSpacing w:val="0"/>
      <w:jc w:val="center"/>
    </w:pPr>
  </w:style>
  <w:style w:type="character" w:customStyle="1" w:styleId="TitleChar">
    <w:name w:val="Title Char"/>
    <w:basedOn w:val="DefaultParagraphFont"/>
    <w:link w:val="Title"/>
    <w:uiPriority w:val="10"/>
    <w:rsid w:val="001857B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Documents\Custom%20Office%20Templates\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B88BA-75D8-467A-BC62-8C859BD71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Template>
  <TotalTime>0</TotalTime>
  <Pages>5</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c:creator>
  <cp:keywords/>
  <dc:description/>
  <cp:lastModifiedBy>FRANK</cp:lastModifiedBy>
  <cp:revision>2</cp:revision>
  <dcterms:created xsi:type="dcterms:W3CDTF">2019-04-02T18:01:00Z</dcterms:created>
  <dcterms:modified xsi:type="dcterms:W3CDTF">2019-04-02T18:01:00Z</dcterms:modified>
</cp:coreProperties>
</file>