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Pr="000E607F" w:rsidRDefault="00BD676E" w:rsidP="000E607F">
      <w:pPr>
        <w:spacing w:line="480" w:lineRule="auto"/>
        <w:jc w:val="center"/>
        <w:rPr>
          <w:rFonts w:ascii="Times New Roman" w:hAnsi="Times New Roman" w:cs="Times New Roman"/>
          <w:sz w:val="24"/>
          <w:szCs w:val="24"/>
        </w:rPr>
      </w:pPr>
      <w:bookmarkStart w:id="0" w:name="_GoBack"/>
      <w:bookmarkEnd w:id="0"/>
    </w:p>
    <w:p w:rsidR="00BD676E" w:rsidRPr="000E607F" w:rsidRDefault="00BD676E" w:rsidP="000E607F">
      <w:pPr>
        <w:spacing w:line="480" w:lineRule="auto"/>
        <w:jc w:val="center"/>
        <w:rPr>
          <w:rFonts w:ascii="Times New Roman" w:hAnsi="Times New Roman" w:cs="Times New Roman"/>
          <w:sz w:val="24"/>
          <w:szCs w:val="24"/>
        </w:rPr>
      </w:pPr>
    </w:p>
    <w:p w:rsidR="00BD676E" w:rsidRPr="000E607F" w:rsidRDefault="00BD676E" w:rsidP="000E607F">
      <w:pPr>
        <w:spacing w:line="480" w:lineRule="auto"/>
        <w:jc w:val="center"/>
        <w:rPr>
          <w:rFonts w:ascii="Times New Roman" w:hAnsi="Times New Roman" w:cs="Times New Roman"/>
          <w:sz w:val="24"/>
          <w:szCs w:val="24"/>
        </w:rPr>
      </w:pPr>
    </w:p>
    <w:p w:rsidR="00BD676E" w:rsidRPr="000E607F" w:rsidRDefault="00BD676E" w:rsidP="000E607F">
      <w:pPr>
        <w:spacing w:line="480" w:lineRule="auto"/>
        <w:jc w:val="center"/>
        <w:rPr>
          <w:rFonts w:ascii="Times New Roman" w:hAnsi="Times New Roman" w:cs="Times New Roman"/>
          <w:sz w:val="24"/>
          <w:szCs w:val="24"/>
        </w:rPr>
      </w:pPr>
    </w:p>
    <w:p w:rsidR="006A7E09" w:rsidRDefault="006A7E09" w:rsidP="006A7E09">
      <w:pPr>
        <w:spacing w:line="480" w:lineRule="auto"/>
        <w:jc w:val="center"/>
        <w:rPr>
          <w:rFonts w:ascii="Times New Roman" w:hAnsi="Times New Roman" w:cs="Times New Roman"/>
          <w:sz w:val="24"/>
          <w:szCs w:val="24"/>
        </w:rPr>
      </w:pPr>
      <w:r>
        <w:rPr>
          <w:rFonts w:ascii="Times New Roman" w:hAnsi="Times New Roman" w:cs="Times New Roman"/>
          <w:sz w:val="24"/>
          <w:szCs w:val="24"/>
        </w:rPr>
        <w:t>Defense of BRI</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Name</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Course</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Instructor</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Institution</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Date</w:t>
      </w:r>
    </w:p>
    <w:p w:rsidR="00BD676E" w:rsidRPr="000E607F" w:rsidRDefault="00BD676E" w:rsidP="000E607F">
      <w:pPr>
        <w:spacing w:line="480" w:lineRule="auto"/>
        <w:rPr>
          <w:rFonts w:ascii="Times New Roman" w:hAnsi="Times New Roman" w:cs="Times New Roman"/>
          <w:sz w:val="24"/>
          <w:szCs w:val="24"/>
        </w:rPr>
      </w:pPr>
      <w:r w:rsidRPr="000E607F">
        <w:rPr>
          <w:rFonts w:ascii="Times New Roman" w:hAnsi="Times New Roman" w:cs="Times New Roman"/>
          <w:sz w:val="24"/>
          <w:szCs w:val="24"/>
        </w:rPr>
        <w:br w:type="page"/>
      </w:r>
    </w:p>
    <w:p w:rsidR="00306FDE" w:rsidRDefault="00306FDE" w:rsidP="00306FD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Defense of BRI</w:t>
      </w:r>
    </w:p>
    <w:p w:rsidR="00306FDE" w:rsidRDefault="00306FDE" w:rsidP="00306FDE">
      <w:pPr>
        <w:spacing w:line="480" w:lineRule="auto"/>
        <w:rPr>
          <w:rFonts w:ascii="Times New Roman" w:hAnsi="Times New Roman" w:cs="Times New Roman"/>
          <w:sz w:val="24"/>
          <w:szCs w:val="24"/>
        </w:rPr>
      </w:pPr>
      <w:r>
        <w:rPr>
          <w:rFonts w:ascii="Times New Roman" w:hAnsi="Times New Roman" w:cs="Times New Roman"/>
          <w:sz w:val="24"/>
          <w:szCs w:val="24"/>
        </w:rPr>
        <w:t>Introduction</w:t>
      </w:r>
    </w:p>
    <w:p w:rsidR="00306FDE" w:rsidRDefault="00306FDE" w:rsidP="00306F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general distrust of Chinese intentions in Southeast Asia has raised questions among countries across the region. However, the BRI will open up the markets and create positive models across the region. Asian countries have started benefitting from the infrastructural projects across the region. Chinese have by and large invested heavily in the region as countries are continuing to embrace the new trend and projects across the region accordingly. Large amounts of investments however, have not been received positively across the region. There are concerns that the Chinese is establishing regions where it can fortify its military base in future. Governments in the region are engaging with the entities to develop positive models essential in changing the community structures and controls indicated accordingly. </w:t>
      </w:r>
    </w:p>
    <w:p w:rsidR="00306FDE" w:rsidRDefault="00306FDE" w:rsidP="00306FDE">
      <w:pPr>
        <w:spacing w:line="480" w:lineRule="auto"/>
        <w:ind w:firstLine="720"/>
        <w:rPr>
          <w:rFonts w:ascii="Times New Roman" w:hAnsi="Times New Roman" w:cs="Times New Roman"/>
          <w:sz w:val="24"/>
          <w:szCs w:val="24"/>
        </w:rPr>
      </w:pPr>
      <w:r>
        <w:rPr>
          <w:rFonts w:ascii="Times New Roman" w:hAnsi="Times New Roman" w:cs="Times New Roman"/>
          <w:sz w:val="24"/>
          <w:szCs w:val="24"/>
        </w:rPr>
        <w:t>Great support for projects by countries that will lead to opening up of the markets is also one of the benefits. BRI supporters note that the critical functions of the new project will be expanding the markets and creating better structures essential in the market. Critical functions are underpinned across the society thereby integrating and opening up the region to global markets. BRI targets Asia, Middle East and Europe creating a wide framework that will be critical in integrating the best practices essential in the future. As more presidents and governments continue to embrace the framework, better controls and methods will be essential in opening up the markets</w:t>
      </w:r>
      <w:r w:rsidR="007E686D">
        <w:rPr>
          <w:rFonts w:ascii="Times New Roman" w:hAnsi="Times New Roman" w:cs="Times New Roman"/>
          <w:sz w:val="24"/>
          <w:szCs w:val="24"/>
        </w:rPr>
        <w:t xml:space="preserve"> (</w:t>
      </w:r>
      <w:r w:rsidR="007E686D">
        <w:rPr>
          <w:rFonts w:ascii="Times New Roman" w:hAnsi="Times New Roman" w:cs="Times New Roman"/>
          <w:color w:val="222222"/>
          <w:sz w:val="24"/>
          <w:szCs w:val="24"/>
          <w:shd w:val="clear" w:color="auto" w:fill="FFFFFF"/>
        </w:rPr>
        <w:t>Fulton, 2017)</w:t>
      </w:r>
      <w:r>
        <w:rPr>
          <w:rFonts w:ascii="Times New Roman" w:hAnsi="Times New Roman" w:cs="Times New Roman"/>
          <w:sz w:val="24"/>
          <w:szCs w:val="24"/>
        </w:rPr>
        <w:t xml:space="preserve">. Political atmosphere will also be changed as more countries continue to embrace the trends and models essential in integrating the best processes needed in the market. Widening markets is essential in developing and creating improved markets and controls essential for change in the systems developed. </w:t>
      </w:r>
    </w:p>
    <w:p w:rsidR="00306FDE" w:rsidRDefault="00306FDE" w:rsidP="00306FD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China’s Rise and probability for Conflict </w:t>
      </w:r>
    </w:p>
    <w:p w:rsidR="00306FDE" w:rsidRDefault="00306FDE" w:rsidP="00306F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power transition theory, China’s rise will pose a challenge to the international order that is mainly controlled by the American power. The current continued trade war between China and U.S supports this position as a critical aspect that may lead to escalation and ultimately war. However, under the </w:t>
      </w:r>
      <w:r w:rsidR="007F752D">
        <w:rPr>
          <w:rFonts w:ascii="Times New Roman" w:hAnsi="Times New Roman" w:cs="Times New Roman"/>
          <w:sz w:val="24"/>
          <w:szCs w:val="24"/>
        </w:rPr>
        <w:t>institutionalism</w:t>
      </w:r>
      <w:r>
        <w:rPr>
          <w:rFonts w:ascii="Times New Roman" w:hAnsi="Times New Roman" w:cs="Times New Roman"/>
          <w:sz w:val="24"/>
          <w:szCs w:val="24"/>
        </w:rPr>
        <w:t xml:space="preserve"> theory, China rise presents an opportunity for building cooperation and engagement across the world</w:t>
      </w:r>
      <w:r w:rsidR="007F752D">
        <w:rPr>
          <w:rFonts w:ascii="Times New Roman" w:hAnsi="Times New Roman" w:cs="Times New Roman"/>
          <w:sz w:val="24"/>
          <w:szCs w:val="24"/>
        </w:rPr>
        <w:t xml:space="preserve"> (</w:t>
      </w:r>
      <w:proofErr w:type="spellStart"/>
      <w:r w:rsidR="007F752D">
        <w:rPr>
          <w:rFonts w:ascii="Times New Roman" w:hAnsi="Times New Roman" w:cs="Times New Roman"/>
          <w:color w:val="222222"/>
          <w:sz w:val="24"/>
          <w:szCs w:val="24"/>
          <w:shd w:val="clear" w:color="auto" w:fill="FFFFFF"/>
        </w:rPr>
        <w:t>Dominese</w:t>
      </w:r>
      <w:proofErr w:type="spellEnd"/>
      <w:r w:rsidR="007F752D">
        <w:rPr>
          <w:rFonts w:ascii="Times New Roman" w:hAnsi="Times New Roman" w:cs="Times New Roman"/>
          <w:color w:val="222222"/>
          <w:sz w:val="24"/>
          <w:szCs w:val="24"/>
          <w:shd w:val="clear" w:color="auto" w:fill="FFFFFF"/>
        </w:rPr>
        <w:t>, 2019)</w:t>
      </w:r>
      <w:r>
        <w:rPr>
          <w:rFonts w:ascii="Times New Roman" w:hAnsi="Times New Roman" w:cs="Times New Roman"/>
          <w:sz w:val="24"/>
          <w:szCs w:val="24"/>
        </w:rPr>
        <w:t xml:space="preserve">. The BRI is one of the main examples of China looking to embrace new models and engage with the society at large. China’s disdain of DPRK and its strong positions against nuclear weapons as well as supporting a stable Korea are among signs of a country that firmly supports cooperation. China embraces new trends in the market that will position the country perfectly in a changing society and create better principles and environmental for all countries in the region. China’s power will act as a factor to control and create better structures similar to the methods adopted by the U.S. China has embraced regional diplomacy as a critical principle to support critical functions and integrate better patterns in the region accordingly. The issue of Taiwan is a significant factor that underlines the need for change and actualizing better principles needed across the systems adopted in the region. China government embraces peaceful rise and sovereignty as pertinent attributes essential in changing the scope and methods adopted accordingly. Issues of a rapid increase in economic growth and critical features essential in integrating better models and connection with other countries is pertinent. As China starts engaging in global business with different countries and regions globally, cooperative structures are being developed. Economic growth has spurred better controls and methods essential in strengthening the South Asian region. </w:t>
      </w:r>
    </w:p>
    <w:p w:rsidR="00306FDE" w:rsidRDefault="00306FDE" w:rsidP="00306F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Core elements of US grand strategy in Asia after the end of the Pacific War </w:t>
      </w:r>
    </w:p>
    <w:p w:rsidR="00306FDE" w:rsidRDefault="00306FDE" w:rsidP="00306FD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One of the core elements is defense in depth where the US established defensive perimeter across the South Asian and Western Pacific region. The US has strategically placed its military vessels in the region to have a base essential in defending the country against any attacks. Gaining information and intelligence from the region is also a pertinent aspect that led to the region creating better structures in the region. The alliance system that included countries such as South Korea, Japan, The Philippines, Thailand, Australia and New Zealand was critical in establishing control. The countries allowed the US to place vessels in their waters that was essential in integrating peace and control in the region</w:t>
      </w:r>
      <w:r w:rsidR="002735B3">
        <w:rPr>
          <w:rFonts w:ascii="Times New Roman" w:hAnsi="Times New Roman" w:cs="Times New Roman"/>
          <w:sz w:val="24"/>
          <w:szCs w:val="24"/>
        </w:rPr>
        <w:t xml:space="preserve"> (</w:t>
      </w:r>
      <w:r w:rsidR="002735B3">
        <w:rPr>
          <w:rFonts w:ascii="Times New Roman" w:hAnsi="Times New Roman" w:cs="Times New Roman"/>
          <w:color w:val="222222"/>
          <w:sz w:val="24"/>
          <w:szCs w:val="24"/>
          <w:shd w:val="clear" w:color="auto" w:fill="FFFFFF"/>
        </w:rPr>
        <w:t>Beeson, 2018)</w:t>
      </w:r>
      <w:r>
        <w:rPr>
          <w:rFonts w:ascii="Times New Roman" w:hAnsi="Times New Roman" w:cs="Times New Roman"/>
          <w:sz w:val="24"/>
          <w:szCs w:val="24"/>
        </w:rPr>
        <w:t xml:space="preserve">. The control gained allowed the U.S to have a specific control structure that allowed the region to gain the best structures essential in operating in the region. </w:t>
      </w:r>
    </w:p>
    <w:p w:rsidR="00306FDE" w:rsidRDefault="00306FDE" w:rsidP="00306FDE">
      <w:pPr>
        <w:spacing w:line="480" w:lineRule="auto"/>
        <w:rPr>
          <w:rFonts w:ascii="Times New Roman" w:hAnsi="Times New Roman" w:cs="Times New Roman"/>
          <w:sz w:val="24"/>
          <w:szCs w:val="24"/>
        </w:rPr>
      </w:pPr>
      <w:r>
        <w:rPr>
          <w:rFonts w:ascii="Times New Roman" w:hAnsi="Times New Roman" w:cs="Times New Roman"/>
          <w:sz w:val="24"/>
          <w:szCs w:val="24"/>
        </w:rPr>
        <w:t>Conclusion</w:t>
      </w:r>
    </w:p>
    <w:p w:rsidR="00306FDE" w:rsidRDefault="00306FDE" w:rsidP="00306F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ability to project </w:t>
      </w:r>
      <w:r>
        <w:rPr>
          <w:rFonts w:ascii="Times New Roman" w:hAnsi="Times New Roman" w:cs="Times New Roman"/>
          <w:sz w:val="24"/>
          <w:szCs w:val="24"/>
        </w:rPr>
        <w:t xml:space="preserve">U.S </w:t>
      </w:r>
      <w:r>
        <w:rPr>
          <w:rFonts w:ascii="Times New Roman" w:hAnsi="Times New Roman" w:cs="Times New Roman"/>
          <w:sz w:val="24"/>
          <w:szCs w:val="24"/>
        </w:rPr>
        <w:t xml:space="preserve">force in the Pacific region was one of the main methods used by the country. The U.S managed to create what was referred to as “Command of the commons” that mainly integrate positive outcomes essential in projecting its force. The Pacific region and control was mainly dominated by critical features and controls needed in the region. Liberal </w:t>
      </w:r>
      <w:r>
        <w:rPr>
          <w:rFonts w:ascii="Times New Roman" w:hAnsi="Times New Roman" w:cs="Times New Roman"/>
          <w:sz w:val="24"/>
          <w:szCs w:val="24"/>
        </w:rPr>
        <w:t>institutionalism</w:t>
      </w:r>
      <w:r>
        <w:rPr>
          <w:rFonts w:ascii="Times New Roman" w:hAnsi="Times New Roman" w:cs="Times New Roman"/>
          <w:sz w:val="24"/>
          <w:szCs w:val="24"/>
        </w:rPr>
        <w:t xml:space="preserve"> component was also a critical component in the U.S strategy. The region provided aid and support in the reconstruction of the countries and stabilizing the region through better methods and structures needed accordingly. The credibility of the US was gained from the specific patterns that were highlighted thereby integrating better processes essential in supporting the region. </w:t>
      </w:r>
    </w:p>
    <w:p w:rsidR="00306FDE" w:rsidRDefault="00306FDE" w:rsidP="000E607F">
      <w:pPr>
        <w:spacing w:line="480" w:lineRule="auto"/>
        <w:jc w:val="center"/>
        <w:rPr>
          <w:rFonts w:ascii="Times New Roman" w:hAnsi="Times New Roman" w:cs="Times New Roman"/>
          <w:sz w:val="24"/>
          <w:szCs w:val="24"/>
        </w:rPr>
      </w:pPr>
    </w:p>
    <w:p w:rsidR="00306FDE" w:rsidRDefault="00306FDE" w:rsidP="000E607F">
      <w:pPr>
        <w:spacing w:line="480" w:lineRule="auto"/>
        <w:jc w:val="center"/>
        <w:rPr>
          <w:rFonts w:ascii="Times New Roman" w:hAnsi="Times New Roman" w:cs="Times New Roman"/>
          <w:sz w:val="24"/>
          <w:szCs w:val="24"/>
        </w:rPr>
      </w:pPr>
    </w:p>
    <w:p w:rsidR="00306FDE" w:rsidRDefault="002735B3" w:rsidP="000E607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735B3" w:rsidRPr="002735B3" w:rsidRDefault="002735B3" w:rsidP="002735B3">
      <w:pPr>
        <w:spacing w:line="480" w:lineRule="auto"/>
        <w:ind w:left="720" w:hanging="720"/>
        <w:rPr>
          <w:rFonts w:ascii="Times New Roman" w:hAnsi="Times New Roman" w:cs="Times New Roman"/>
          <w:color w:val="222222"/>
          <w:sz w:val="24"/>
          <w:szCs w:val="24"/>
          <w:shd w:val="clear" w:color="auto" w:fill="FFFFFF"/>
        </w:rPr>
      </w:pPr>
      <w:r w:rsidRPr="002735B3">
        <w:rPr>
          <w:rFonts w:ascii="Times New Roman" w:hAnsi="Times New Roman" w:cs="Times New Roman"/>
          <w:color w:val="222222"/>
          <w:sz w:val="24"/>
          <w:szCs w:val="24"/>
          <w:shd w:val="clear" w:color="auto" w:fill="FFFFFF"/>
        </w:rPr>
        <w:t xml:space="preserve">Beeson, M. (2018). </w:t>
      </w:r>
      <w:proofErr w:type="spellStart"/>
      <w:r w:rsidRPr="002735B3">
        <w:rPr>
          <w:rFonts w:ascii="Times New Roman" w:hAnsi="Times New Roman" w:cs="Times New Roman"/>
          <w:color w:val="222222"/>
          <w:sz w:val="24"/>
          <w:szCs w:val="24"/>
          <w:shd w:val="clear" w:color="auto" w:fill="FFFFFF"/>
        </w:rPr>
        <w:t>Geoeconomics</w:t>
      </w:r>
      <w:proofErr w:type="spellEnd"/>
      <w:r w:rsidRPr="002735B3">
        <w:rPr>
          <w:rFonts w:ascii="Times New Roman" w:hAnsi="Times New Roman" w:cs="Times New Roman"/>
          <w:color w:val="222222"/>
          <w:sz w:val="24"/>
          <w:szCs w:val="24"/>
          <w:shd w:val="clear" w:color="auto" w:fill="FFFFFF"/>
        </w:rPr>
        <w:t xml:space="preserve"> with Chinese characteristics: the BRI and China’s evolving grand strategy. </w:t>
      </w:r>
      <w:r w:rsidRPr="002735B3">
        <w:rPr>
          <w:rFonts w:ascii="Times New Roman" w:hAnsi="Times New Roman" w:cs="Times New Roman"/>
          <w:i/>
          <w:iCs/>
          <w:color w:val="222222"/>
          <w:sz w:val="24"/>
          <w:szCs w:val="24"/>
          <w:shd w:val="clear" w:color="auto" w:fill="FFFFFF"/>
        </w:rPr>
        <w:t>Economic and Political Studies</w:t>
      </w:r>
      <w:r w:rsidRPr="002735B3">
        <w:rPr>
          <w:rFonts w:ascii="Times New Roman" w:hAnsi="Times New Roman" w:cs="Times New Roman"/>
          <w:color w:val="222222"/>
          <w:sz w:val="24"/>
          <w:szCs w:val="24"/>
          <w:shd w:val="clear" w:color="auto" w:fill="FFFFFF"/>
        </w:rPr>
        <w:t>, </w:t>
      </w:r>
      <w:r w:rsidRPr="002735B3">
        <w:rPr>
          <w:rFonts w:ascii="Times New Roman" w:hAnsi="Times New Roman" w:cs="Times New Roman"/>
          <w:i/>
          <w:iCs/>
          <w:color w:val="222222"/>
          <w:sz w:val="24"/>
          <w:szCs w:val="24"/>
          <w:shd w:val="clear" w:color="auto" w:fill="FFFFFF"/>
        </w:rPr>
        <w:t>6</w:t>
      </w:r>
      <w:r w:rsidRPr="002735B3">
        <w:rPr>
          <w:rFonts w:ascii="Times New Roman" w:hAnsi="Times New Roman" w:cs="Times New Roman"/>
          <w:color w:val="222222"/>
          <w:sz w:val="24"/>
          <w:szCs w:val="24"/>
          <w:shd w:val="clear" w:color="auto" w:fill="FFFFFF"/>
        </w:rPr>
        <w:t>(3), 240-256.</w:t>
      </w:r>
    </w:p>
    <w:p w:rsidR="002735B3" w:rsidRPr="002735B3" w:rsidRDefault="002735B3" w:rsidP="002735B3">
      <w:pPr>
        <w:spacing w:line="480" w:lineRule="auto"/>
        <w:ind w:left="720" w:hanging="720"/>
        <w:rPr>
          <w:rFonts w:ascii="Times New Roman" w:hAnsi="Times New Roman" w:cs="Times New Roman"/>
          <w:color w:val="222222"/>
          <w:sz w:val="24"/>
          <w:szCs w:val="24"/>
          <w:shd w:val="clear" w:color="auto" w:fill="FFFFFF"/>
        </w:rPr>
      </w:pPr>
      <w:proofErr w:type="spellStart"/>
      <w:r w:rsidRPr="002735B3">
        <w:rPr>
          <w:rFonts w:ascii="Times New Roman" w:hAnsi="Times New Roman" w:cs="Times New Roman"/>
          <w:color w:val="222222"/>
          <w:sz w:val="24"/>
          <w:szCs w:val="24"/>
          <w:shd w:val="clear" w:color="auto" w:fill="FFFFFF"/>
        </w:rPr>
        <w:t>Dominese</w:t>
      </w:r>
      <w:proofErr w:type="spellEnd"/>
      <w:r w:rsidRPr="002735B3">
        <w:rPr>
          <w:rFonts w:ascii="Times New Roman" w:hAnsi="Times New Roman" w:cs="Times New Roman"/>
          <w:color w:val="222222"/>
          <w:sz w:val="24"/>
          <w:szCs w:val="24"/>
          <w:shd w:val="clear" w:color="auto" w:fill="FFFFFF"/>
        </w:rPr>
        <w:t>, G. (2019). 13 International relations and New Silk Road-BRI. </w:t>
      </w:r>
      <w:r w:rsidRPr="002735B3">
        <w:rPr>
          <w:rFonts w:ascii="Times New Roman" w:hAnsi="Times New Roman" w:cs="Times New Roman"/>
          <w:i/>
          <w:iCs/>
          <w:color w:val="222222"/>
          <w:sz w:val="24"/>
          <w:szCs w:val="24"/>
          <w:shd w:val="clear" w:color="auto" w:fill="FFFFFF"/>
        </w:rPr>
        <w:t xml:space="preserve">How China's Silk Road Initiative is </w:t>
      </w:r>
      <w:proofErr w:type="gramStart"/>
      <w:r w:rsidRPr="002735B3">
        <w:rPr>
          <w:rFonts w:ascii="Times New Roman" w:hAnsi="Times New Roman" w:cs="Times New Roman"/>
          <w:i/>
          <w:iCs/>
          <w:color w:val="222222"/>
          <w:sz w:val="24"/>
          <w:szCs w:val="24"/>
          <w:shd w:val="clear" w:color="auto" w:fill="FFFFFF"/>
        </w:rPr>
        <w:t>Changing</w:t>
      </w:r>
      <w:proofErr w:type="gramEnd"/>
      <w:r w:rsidRPr="002735B3">
        <w:rPr>
          <w:rFonts w:ascii="Times New Roman" w:hAnsi="Times New Roman" w:cs="Times New Roman"/>
          <w:i/>
          <w:iCs/>
          <w:color w:val="222222"/>
          <w:sz w:val="24"/>
          <w:szCs w:val="24"/>
          <w:shd w:val="clear" w:color="auto" w:fill="FFFFFF"/>
        </w:rPr>
        <w:t xml:space="preserve"> the Global Economic Landscape</w:t>
      </w:r>
      <w:r w:rsidRPr="002735B3">
        <w:rPr>
          <w:rFonts w:ascii="Times New Roman" w:hAnsi="Times New Roman" w:cs="Times New Roman"/>
          <w:color w:val="222222"/>
          <w:sz w:val="24"/>
          <w:szCs w:val="24"/>
          <w:shd w:val="clear" w:color="auto" w:fill="FFFFFF"/>
        </w:rPr>
        <w:t>, 211.</w:t>
      </w:r>
    </w:p>
    <w:p w:rsidR="002735B3" w:rsidRPr="002735B3" w:rsidRDefault="002735B3" w:rsidP="002735B3">
      <w:pPr>
        <w:spacing w:line="480" w:lineRule="auto"/>
        <w:ind w:left="720" w:hanging="720"/>
        <w:rPr>
          <w:rFonts w:ascii="Times New Roman" w:hAnsi="Times New Roman" w:cs="Times New Roman"/>
          <w:sz w:val="24"/>
          <w:szCs w:val="24"/>
        </w:rPr>
      </w:pPr>
      <w:r w:rsidRPr="002735B3">
        <w:rPr>
          <w:rFonts w:ascii="Times New Roman" w:hAnsi="Times New Roman" w:cs="Times New Roman"/>
          <w:color w:val="222222"/>
          <w:sz w:val="24"/>
          <w:szCs w:val="24"/>
          <w:shd w:val="clear" w:color="auto" w:fill="FFFFFF"/>
        </w:rPr>
        <w:t>Fulton, J. (2017). The GCC Countries and China’s Belt and Road Initiative (BRI): Curbing Their Enthusiasm</w:t>
      </w:r>
      <w:proofErr w:type="gramStart"/>
      <w:r w:rsidRPr="002735B3">
        <w:rPr>
          <w:rFonts w:ascii="Times New Roman" w:hAnsi="Times New Roman" w:cs="Times New Roman"/>
          <w:color w:val="222222"/>
          <w:sz w:val="24"/>
          <w:szCs w:val="24"/>
          <w:shd w:val="clear" w:color="auto" w:fill="FFFFFF"/>
        </w:rPr>
        <w:t>?.</w:t>
      </w:r>
      <w:proofErr w:type="gramEnd"/>
      <w:r w:rsidRPr="002735B3">
        <w:rPr>
          <w:rFonts w:ascii="Times New Roman" w:hAnsi="Times New Roman" w:cs="Times New Roman"/>
          <w:color w:val="222222"/>
          <w:sz w:val="24"/>
          <w:szCs w:val="24"/>
          <w:shd w:val="clear" w:color="auto" w:fill="FFFFFF"/>
        </w:rPr>
        <w:t> </w:t>
      </w:r>
      <w:r w:rsidRPr="002735B3">
        <w:rPr>
          <w:rFonts w:ascii="Times New Roman" w:hAnsi="Times New Roman" w:cs="Times New Roman"/>
          <w:i/>
          <w:iCs/>
          <w:color w:val="222222"/>
          <w:sz w:val="24"/>
          <w:szCs w:val="24"/>
          <w:shd w:val="clear" w:color="auto" w:fill="FFFFFF"/>
        </w:rPr>
        <w:t>Middle East Institute</w:t>
      </w:r>
      <w:r w:rsidRPr="002735B3">
        <w:rPr>
          <w:rFonts w:ascii="Times New Roman" w:hAnsi="Times New Roman" w:cs="Times New Roman"/>
          <w:color w:val="222222"/>
          <w:sz w:val="24"/>
          <w:szCs w:val="24"/>
          <w:shd w:val="clear" w:color="auto" w:fill="FFFFFF"/>
        </w:rPr>
        <w:t>, </w:t>
      </w:r>
      <w:r w:rsidRPr="002735B3">
        <w:rPr>
          <w:rFonts w:ascii="Times New Roman" w:hAnsi="Times New Roman" w:cs="Times New Roman"/>
          <w:i/>
          <w:iCs/>
          <w:color w:val="222222"/>
          <w:sz w:val="24"/>
          <w:szCs w:val="24"/>
          <w:shd w:val="clear" w:color="auto" w:fill="FFFFFF"/>
        </w:rPr>
        <w:t>17</w:t>
      </w:r>
      <w:r w:rsidRPr="002735B3">
        <w:rPr>
          <w:rFonts w:ascii="Times New Roman" w:hAnsi="Times New Roman" w:cs="Times New Roman"/>
          <w:color w:val="222222"/>
          <w:sz w:val="24"/>
          <w:szCs w:val="24"/>
          <w:shd w:val="clear" w:color="auto" w:fill="FFFFFF"/>
        </w:rPr>
        <w:t>.</w:t>
      </w:r>
    </w:p>
    <w:p w:rsidR="00306FDE" w:rsidRDefault="00306FDE" w:rsidP="000E607F">
      <w:pPr>
        <w:spacing w:line="480" w:lineRule="auto"/>
        <w:jc w:val="center"/>
        <w:rPr>
          <w:rFonts w:ascii="Times New Roman" w:hAnsi="Times New Roman" w:cs="Times New Roman"/>
          <w:sz w:val="24"/>
          <w:szCs w:val="24"/>
        </w:rPr>
      </w:pPr>
    </w:p>
    <w:p w:rsidR="00306FDE" w:rsidRDefault="00306FDE" w:rsidP="000E607F">
      <w:pPr>
        <w:spacing w:line="480" w:lineRule="auto"/>
        <w:jc w:val="center"/>
        <w:rPr>
          <w:rFonts w:ascii="Times New Roman" w:hAnsi="Times New Roman" w:cs="Times New Roman"/>
          <w:sz w:val="24"/>
          <w:szCs w:val="24"/>
        </w:rPr>
      </w:pPr>
    </w:p>
    <w:p w:rsidR="00306FDE" w:rsidRDefault="00306FDE" w:rsidP="000E607F">
      <w:pPr>
        <w:spacing w:line="480" w:lineRule="auto"/>
        <w:jc w:val="center"/>
        <w:rPr>
          <w:rFonts w:ascii="Times New Roman" w:hAnsi="Times New Roman" w:cs="Times New Roman"/>
          <w:sz w:val="24"/>
          <w:szCs w:val="24"/>
        </w:rPr>
      </w:pPr>
    </w:p>
    <w:p w:rsidR="00306FDE" w:rsidRDefault="00306FDE" w:rsidP="000E607F">
      <w:pPr>
        <w:spacing w:line="480" w:lineRule="auto"/>
        <w:jc w:val="center"/>
        <w:rPr>
          <w:rFonts w:ascii="Times New Roman" w:hAnsi="Times New Roman" w:cs="Times New Roman"/>
          <w:sz w:val="24"/>
          <w:szCs w:val="24"/>
        </w:rPr>
      </w:pPr>
    </w:p>
    <w:p w:rsidR="00306FDE" w:rsidRDefault="00306FDE" w:rsidP="000E607F">
      <w:pPr>
        <w:spacing w:line="480" w:lineRule="auto"/>
        <w:jc w:val="center"/>
        <w:rPr>
          <w:rFonts w:ascii="Times New Roman" w:hAnsi="Times New Roman" w:cs="Times New Roman"/>
          <w:sz w:val="24"/>
          <w:szCs w:val="24"/>
        </w:rPr>
      </w:pPr>
    </w:p>
    <w:p w:rsidR="00BC1B16" w:rsidRPr="000E607F" w:rsidRDefault="00BC1B16" w:rsidP="000E607F">
      <w:pPr>
        <w:spacing w:line="480" w:lineRule="auto"/>
        <w:ind w:left="720" w:hanging="720"/>
        <w:rPr>
          <w:rFonts w:ascii="Times New Roman" w:hAnsi="Times New Roman" w:cs="Times New Roman"/>
          <w:color w:val="222222"/>
          <w:sz w:val="24"/>
          <w:szCs w:val="24"/>
          <w:shd w:val="clear" w:color="auto" w:fill="FFFFFF"/>
        </w:rPr>
      </w:pPr>
    </w:p>
    <w:sectPr w:rsidR="00BC1B16" w:rsidRPr="000E607F" w:rsidSect="00BD6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20E3" w:rsidRDefault="004620E3" w:rsidP="00BD676E">
      <w:pPr>
        <w:spacing w:after="0" w:line="240" w:lineRule="auto"/>
      </w:pPr>
      <w:r>
        <w:separator/>
      </w:r>
    </w:p>
  </w:endnote>
  <w:endnote w:type="continuationSeparator" w:id="0">
    <w:p w:rsidR="004620E3" w:rsidRDefault="004620E3"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20E3" w:rsidRDefault="004620E3" w:rsidP="00BD676E">
      <w:pPr>
        <w:spacing w:after="0" w:line="240" w:lineRule="auto"/>
      </w:pPr>
      <w:r>
        <w:separator/>
      </w:r>
    </w:p>
  </w:footnote>
  <w:footnote w:type="continuationSeparator" w:id="0">
    <w:p w:rsidR="004620E3" w:rsidRDefault="004620E3"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6A7E09">
          <w:rPr>
            <w:rFonts w:ascii="Times New Roman" w:hAnsi="Times New Roman" w:cs="Times New Roman"/>
            <w:noProof/>
            <w:sz w:val="24"/>
            <w:szCs w:val="24"/>
          </w:rPr>
          <w:t>5</w:t>
        </w:r>
        <w:r w:rsidRPr="00BD676E">
          <w:rPr>
            <w:rFonts w:ascii="Times New Roman" w:hAnsi="Times New Roman" w:cs="Times New Roman"/>
            <w:sz w:val="24"/>
            <w:szCs w:val="24"/>
          </w:rPr>
          <w:fldChar w:fldCharType="end"/>
        </w:r>
      </w:p>
    </w:sdtContent>
  </w:sdt>
  <w:p w:rsidR="00BD676E" w:rsidRPr="00BD676E" w:rsidRDefault="009D1083">
    <w:pPr>
      <w:pStyle w:val="Header"/>
      <w:rPr>
        <w:rFonts w:ascii="Times New Roman" w:hAnsi="Times New Roman" w:cs="Times New Roman"/>
        <w:sz w:val="24"/>
        <w:szCs w:val="24"/>
      </w:rPr>
    </w:pPr>
    <w:r>
      <w:rPr>
        <w:rFonts w:ascii="Times New Roman" w:hAnsi="Times New Roman" w:cs="Times New Roman"/>
        <w:sz w:val="24"/>
        <w:szCs w:val="24"/>
      </w:rPr>
      <w:t>Defense of BRI</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6A7E09">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6A7E09">
      <w:rPr>
        <w:rFonts w:ascii="Times New Roman" w:hAnsi="Times New Roman" w:cs="Times New Roman"/>
        <w:sz w:val="24"/>
        <w:szCs w:val="24"/>
      </w:rPr>
      <w:t>DEFENSE OF BRI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D2EFD"/>
    <w:multiLevelType w:val="multilevel"/>
    <w:tmpl w:val="A69C3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06E39EA"/>
    <w:multiLevelType w:val="hybridMultilevel"/>
    <w:tmpl w:val="6234D0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EE146BE"/>
    <w:multiLevelType w:val="hybridMultilevel"/>
    <w:tmpl w:val="397A46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F904533"/>
    <w:multiLevelType w:val="hybridMultilevel"/>
    <w:tmpl w:val="AC90C1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D676E"/>
    <w:rsid w:val="0004601F"/>
    <w:rsid w:val="00067DCA"/>
    <w:rsid w:val="000B66D0"/>
    <w:rsid w:val="000E0DC4"/>
    <w:rsid w:val="000E607F"/>
    <w:rsid w:val="0010341E"/>
    <w:rsid w:val="00120C40"/>
    <w:rsid w:val="001566F4"/>
    <w:rsid w:val="001618DF"/>
    <w:rsid w:val="00175BBD"/>
    <w:rsid w:val="001A126B"/>
    <w:rsid w:val="001A494D"/>
    <w:rsid w:val="001D5FFD"/>
    <w:rsid w:val="001E79EF"/>
    <w:rsid w:val="00250755"/>
    <w:rsid w:val="00252923"/>
    <w:rsid w:val="002735B3"/>
    <w:rsid w:val="0027665C"/>
    <w:rsid w:val="00296374"/>
    <w:rsid w:val="00297972"/>
    <w:rsid w:val="002B53E1"/>
    <w:rsid w:val="002E2AC4"/>
    <w:rsid w:val="00306FDE"/>
    <w:rsid w:val="00314500"/>
    <w:rsid w:val="003B617D"/>
    <w:rsid w:val="003E0764"/>
    <w:rsid w:val="003E0B1F"/>
    <w:rsid w:val="0041252C"/>
    <w:rsid w:val="00417E42"/>
    <w:rsid w:val="00435425"/>
    <w:rsid w:val="004620E3"/>
    <w:rsid w:val="004A5C23"/>
    <w:rsid w:val="004E12BA"/>
    <w:rsid w:val="004E7FE6"/>
    <w:rsid w:val="00514C16"/>
    <w:rsid w:val="005602F1"/>
    <w:rsid w:val="00591967"/>
    <w:rsid w:val="005B7B67"/>
    <w:rsid w:val="005F03C5"/>
    <w:rsid w:val="00624B76"/>
    <w:rsid w:val="006257F9"/>
    <w:rsid w:val="00673CFB"/>
    <w:rsid w:val="0069429C"/>
    <w:rsid w:val="006A466C"/>
    <w:rsid w:val="006A7E09"/>
    <w:rsid w:val="006B000C"/>
    <w:rsid w:val="006B3F24"/>
    <w:rsid w:val="006C3904"/>
    <w:rsid w:val="006E548B"/>
    <w:rsid w:val="006F3CD2"/>
    <w:rsid w:val="00711315"/>
    <w:rsid w:val="00716202"/>
    <w:rsid w:val="00730C8C"/>
    <w:rsid w:val="007555B3"/>
    <w:rsid w:val="007E01DC"/>
    <w:rsid w:val="007E686D"/>
    <w:rsid w:val="007F2306"/>
    <w:rsid w:val="007F752D"/>
    <w:rsid w:val="00841A6D"/>
    <w:rsid w:val="00844D0E"/>
    <w:rsid w:val="008A77FD"/>
    <w:rsid w:val="00900526"/>
    <w:rsid w:val="00907FC5"/>
    <w:rsid w:val="009576E0"/>
    <w:rsid w:val="00973572"/>
    <w:rsid w:val="00974C1A"/>
    <w:rsid w:val="009938D4"/>
    <w:rsid w:val="009C7FF8"/>
    <w:rsid w:val="009D1083"/>
    <w:rsid w:val="00A04192"/>
    <w:rsid w:val="00A059A9"/>
    <w:rsid w:val="00A319B5"/>
    <w:rsid w:val="00A61014"/>
    <w:rsid w:val="00A728C0"/>
    <w:rsid w:val="00AA71C5"/>
    <w:rsid w:val="00AB4734"/>
    <w:rsid w:val="00AD18A1"/>
    <w:rsid w:val="00AF360F"/>
    <w:rsid w:val="00B14E3E"/>
    <w:rsid w:val="00B62BBD"/>
    <w:rsid w:val="00B8077A"/>
    <w:rsid w:val="00BC1B16"/>
    <w:rsid w:val="00BC3EFD"/>
    <w:rsid w:val="00BD5732"/>
    <w:rsid w:val="00BD676E"/>
    <w:rsid w:val="00BD6A05"/>
    <w:rsid w:val="00C23CD7"/>
    <w:rsid w:val="00C25799"/>
    <w:rsid w:val="00CC5F7C"/>
    <w:rsid w:val="00CD4EFB"/>
    <w:rsid w:val="00D30072"/>
    <w:rsid w:val="00D331D7"/>
    <w:rsid w:val="00D55A31"/>
    <w:rsid w:val="00DB1CA3"/>
    <w:rsid w:val="00DB2777"/>
    <w:rsid w:val="00DC24F3"/>
    <w:rsid w:val="00DC459D"/>
    <w:rsid w:val="00DC5492"/>
    <w:rsid w:val="00DC64C8"/>
    <w:rsid w:val="00E01F59"/>
    <w:rsid w:val="00E04E23"/>
    <w:rsid w:val="00E21AA6"/>
    <w:rsid w:val="00EB3448"/>
    <w:rsid w:val="00EB4EB0"/>
    <w:rsid w:val="00EC5F73"/>
    <w:rsid w:val="00ED3CF4"/>
    <w:rsid w:val="00EE11B5"/>
    <w:rsid w:val="00F222D6"/>
    <w:rsid w:val="00F82638"/>
    <w:rsid w:val="00F84242"/>
    <w:rsid w:val="00F9344B"/>
    <w:rsid w:val="00FC0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1">
    <w:name w:val="heading 1"/>
    <w:basedOn w:val="Normal"/>
    <w:link w:val="Heading1Char"/>
    <w:uiPriority w:val="9"/>
    <w:qFormat/>
    <w:rsid w:val="005F03C5"/>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ListParagraph">
    <w:name w:val="List Paragraph"/>
    <w:basedOn w:val="Normal"/>
    <w:uiPriority w:val="34"/>
    <w:qFormat/>
    <w:rsid w:val="003E0764"/>
    <w:pPr>
      <w:ind w:left="720"/>
      <w:contextualSpacing/>
    </w:pPr>
  </w:style>
  <w:style w:type="character" w:styleId="Emphasis">
    <w:name w:val="Emphasis"/>
    <w:basedOn w:val="DefaultParagraphFont"/>
    <w:uiPriority w:val="20"/>
    <w:qFormat/>
    <w:rsid w:val="003E0764"/>
    <w:rPr>
      <w:i/>
      <w:iCs/>
    </w:rPr>
  </w:style>
  <w:style w:type="character" w:styleId="Hyperlink">
    <w:name w:val="Hyperlink"/>
    <w:basedOn w:val="DefaultParagraphFont"/>
    <w:uiPriority w:val="99"/>
    <w:unhideWhenUsed/>
    <w:rsid w:val="003E0764"/>
    <w:rPr>
      <w:color w:val="0000FF"/>
      <w:u w:val="single"/>
    </w:rPr>
  </w:style>
  <w:style w:type="character" w:customStyle="1" w:styleId="Heading1Char">
    <w:name w:val="Heading 1 Char"/>
    <w:basedOn w:val="DefaultParagraphFont"/>
    <w:link w:val="Heading1"/>
    <w:uiPriority w:val="9"/>
    <w:rsid w:val="005F03C5"/>
    <w:rPr>
      <w:rFonts w:ascii="Times New Roman" w:eastAsia="Times New Roman" w:hAnsi="Times New Roman" w:cs="Times New Roman"/>
      <w:b/>
      <w:bCs/>
      <w:kern w:val="36"/>
      <w:sz w:val="48"/>
      <w:szCs w:val="48"/>
      <w:lang w:val="en-GB" w:eastAsia="en-GB"/>
    </w:rPr>
  </w:style>
  <w:style w:type="paragraph" w:styleId="NormalWeb">
    <w:name w:val="Normal (Web)"/>
    <w:basedOn w:val="Normal"/>
    <w:uiPriority w:val="99"/>
    <w:semiHidden/>
    <w:unhideWhenUsed/>
    <w:rsid w:val="005F03C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alancedheadline">
    <w:name w:val="balancedheadline"/>
    <w:basedOn w:val="DefaultParagraphFont"/>
    <w:rsid w:val="00FC0B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4378075">
      <w:bodyDiv w:val="1"/>
      <w:marLeft w:val="0"/>
      <w:marRight w:val="0"/>
      <w:marTop w:val="0"/>
      <w:marBottom w:val="0"/>
      <w:divBdr>
        <w:top w:val="none" w:sz="0" w:space="0" w:color="auto"/>
        <w:left w:val="none" w:sz="0" w:space="0" w:color="auto"/>
        <w:bottom w:val="none" w:sz="0" w:space="0" w:color="auto"/>
        <w:right w:val="none" w:sz="0" w:space="0" w:color="auto"/>
      </w:divBdr>
    </w:div>
    <w:div w:id="696850488">
      <w:bodyDiv w:val="1"/>
      <w:marLeft w:val="0"/>
      <w:marRight w:val="0"/>
      <w:marTop w:val="0"/>
      <w:marBottom w:val="0"/>
      <w:divBdr>
        <w:top w:val="none" w:sz="0" w:space="0" w:color="auto"/>
        <w:left w:val="none" w:sz="0" w:space="0" w:color="auto"/>
        <w:bottom w:val="none" w:sz="0" w:space="0" w:color="auto"/>
        <w:right w:val="none" w:sz="0" w:space="0" w:color="auto"/>
      </w:divBdr>
    </w:div>
    <w:div w:id="1089887924">
      <w:bodyDiv w:val="1"/>
      <w:marLeft w:val="0"/>
      <w:marRight w:val="0"/>
      <w:marTop w:val="0"/>
      <w:marBottom w:val="0"/>
      <w:divBdr>
        <w:top w:val="none" w:sz="0" w:space="0" w:color="auto"/>
        <w:left w:val="none" w:sz="0" w:space="0" w:color="auto"/>
        <w:bottom w:val="none" w:sz="0" w:space="0" w:color="auto"/>
        <w:right w:val="none" w:sz="0" w:space="0" w:color="auto"/>
      </w:divBdr>
    </w:div>
    <w:div w:id="1133252564">
      <w:bodyDiv w:val="1"/>
      <w:marLeft w:val="0"/>
      <w:marRight w:val="0"/>
      <w:marTop w:val="0"/>
      <w:marBottom w:val="0"/>
      <w:divBdr>
        <w:top w:val="none" w:sz="0" w:space="0" w:color="auto"/>
        <w:left w:val="none" w:sz="0" w:space="0" w:color="auto"/>
        <w:bottom w:val="none" w:sz="0" w:space="0" w:color="auto"/>
        <w:right w:val="none" w:sz="0" w:space="0" w:color="auto"/>
      </w:divBdr>
    </w:div>
    <w:div w:id="1509976958">
      <w:bodyDiv w:val="1"/>
      <w:marLeft w:val="0"/>
      <w:marRight w:val="0"/>
      <w:marTop w:val="0"/>
      <w:marBottom w:val="0"/>
      <w:divBdr>
        <w:top w:val="none" w:sz="0" w:space="0" w:color="auto"/>
        <w:left w:val="none" w:sz="0" w:space="0" w:color="auto"/>
        <w:bottom w:val="none" w:sz="0" w:space="0" w:color="auto"/>
        <w:right w:val="none" w:sz="0" w:space="0" w:color="auto"/>
      </w:divBdr>
    </w:div>
    <w:div w:id="201349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TotalTime>
  <Pages>5</Pages>
  <Words>903</Words>
  <Characters>5150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94</cp:revision>
  <dcterms:created xsi:type="dcterms:W3CDTF">2018-05-27T15:03:00Z</dcterms:created>
  <dcterms:modified xsi:type="dcterms:W3CDTF">2019-11-06T17:23:00Z</dcterms:modified>
</cp:coreProperties>
</file>