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79FEF8B0" w:rsidR="00DB3A96" w:rsidRPr="004C26F9" w:rsidRDefault="004B144C" w:rsidP="00DB3A96">
      <w:pPr>
        <w:spacing w:line="480" w:lineRule="auto"/>
        <w:ind w:firstLine="720"/>
        <w:jc w:val="center"/>
      </w:pPr>
      <w:r>
        <w:t>Disaster Recovery:</w:t>
      </w:r>
      <w:r w:rsidRPr="004B144C">
        <w:t xml:space="preserve"> Lessons Learned</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329BE757" w14:textId="0ED7D913" w:rsidR="00E96A0F" w:rsidRDefault="004B144C" w:rsidP="004B144C">
      <w:pPr>
        <w:tabs>
          <w:tab w:val="left" w:pos="5205"/>
        </w:tabs>
        <w:spacing w:line="480" w:lineRule="auto"/>
        <w:ind w:firstLine="720"/>
        <w:jc w:val="center"/>
      </w:pPr>
      <w:r>
        <w:lastRenderedPageBreak/>
        <w:t>Disaster Recovery:</w:t>
      </w:r>
      <w:r w:rsidRPr="004B144C">
        <w:t xml:space="preserve"> Lessons Learned</w:t>
      </w:r>
    </w:p>
    <w:p w14:paraId="4FDDFBC4" w14:textId="769A1BAD" w:rsidR="00AB5212" w:rsidRPr="00AB5212" w:rsidRDefault="00AB5212" w:rsidP="004B144C">
      <w:pPr>
        <w:tabs>
          <w:tab w:val="left" w:pos="5205"/>
        </w:tabs>
        <w:spacing w:line="480" w:lineRule="auto"/>
        <w:ind w:firstLine="720"/>
        <w:jc w:val="center"/>
        <w:rPr>
          <w:b/>
        </w:rPr>
      </w:pPr>
      <w:r w:rsidRPr="00AB5212">
        <w:rPr>
          <w:b/>
        </w:rPr>
        <w:t>9/11 Attack and Risk Management</w:t>
      </w:r>
    </w:p>
    <w:p w14:paraId="41F29D41" w14:textId="77777777" w:rsidR="00E9351A" w:rsidRDefault="00E9351A" w:rsidP="00E9351A">
      <w:pPr>
        <w:tabs>
          <w:tab w:val="left" w:pos="5205"/>
        </w:tabs>
        <w:spacing w:line="480" w:lineRule="auto"/>
        <w:ind w:firstLine="720"/>
      </w:pPr>
      <w:r>
        <w:t>The terrorist attack on September 9, 2001, prompted a heightened need for data security in governmental offices and small, medium, and big corporations. The years that followed the attacks saw an extended focus on the security of company information and a shift in disaster recovery plans. Businesses began to implement robust risk management plans that ensured that employees began to work remotely by the use of technologies such as smartphones and virtual private networks (Fernando, 2017). These plans have acted as a move to ensure that businesses are able to recover from a disaster as soon as possible.</w:t>
      </w:r>
    </w:p>
    <w:p w14:paraId="1387A51A" w14:textId="77777777" w:rsidR="00E9351A" w:rsidRDefault="00E9351A" w:rsidP="00E9351A">
      <w:pPr>
        <w:tabs>
          <w:tab w:val="left" w:pos="5205"/>
        </w:tabs>
        <w:spacing w:line="480" w:lineRule="auto"/>
        <w:ind w:firstLine="720"/>
      </w:pPr>
      <w:r>
        <w:t>Corporations have been raising their IT infrastructure expenditure since the attack while improving their recovery-based initiatives to ensure preparedness in case of a disaster. For instance, according to Tower Group, after the September 9 attack, companies have reported a restructuring in their Information Technology expenditures; 39 percent of the budgets went to back end technology incorporation, 34 percent on new software, 24 percent in servers, storage systems, and new networks (</w:t>
      </w:r>
      <w:proofErr w:type="spellStart"/>
      <w:r>
        <w:t>Mearian</w:t>
      </w:r>
      <w:proofErr w:type="spellEnd"/>
      <w:r>
        <w:t>, 2011). Some companies chose to outsource customer database services from providers such as Regulatory Data International.</w:t>
      </w:r>
    </w:p>
    <w:p w14:paraId="55D58BCB" w14:textId="77777777" w:rsidR="00E9351A" w:rsidRPr="00AB5212" w:rsidRDefault="00E9351A" w:rsidP="00AB5212">
      <w:pPr>
        <w:tabs>
          <w:tab w:val="left" w:pos="5205"/>
        </w:tabs>
        <w:spacing w:line="480" w:lineRule="auto"/>
        <w:ind w:firstLine="720"/>
        <w:jc w:val="center"/>
        <w:rPr>
          <w:b/>
        </w:rPr>
      </w:pPr>
      <w:r w:rsidRPr="00AB5212">
        <w:rPr>
          <w:b/>
        </w:rPr>
        <w:t>Social Media</w:t>
      </w:r>
    </w:p>
    <w:p w14:paraId="7C60D12B" w14:textId="77777777" w:rsidR="00E9351A" w:rsidRDefault="00E9351A" w:rsidP="00E9351A">
      <w:pPr>
        <w:tabs>
          <w:tab w:val="left" w:pos="5205"/>
        </w:tabs>
        <w:spacing w:line="480" w:lineRule="auto"/>
        <w:ind w:firstLine="720"/>
      </w:pPr>
      <w:r>
        <w:t>Companies have also adopted current forms of communications to inform not only their employees but also their clients on matters concerning disasters and mitigation plans. Social media platforms such as Facebook and Twitter have helped employees communicate with ease on matters affecting the company, including disaster cases. Positions such as social media manager have sprung up following this move. Therefore, their job would entail informing workers, managing social media marketing, and other risk mitigation such as controlling rumors (</w:t>
      </w:r>
      <w:proofErr w:type="spellStart"/>
      <w:r>
        <w:t>Nisar</w:t>
      </w:r>
      <w:proofErr w:type="spellEnd"/>
      <w:r>
        <w:t xml:space="preserve"> et al., 2019). More plans such as mass notifications and call trees have been put in place to help notify workers and other business stakeholders as fast as possible in case of a disaster. For instance, call tree service providers such as Federal Signal and </w:t>
      </w:r>
      <w:proofErr w:type="spellStart"/>
      <w:r>
        <w:t>Everbridge</w:t>
      </w:r>
      <w:proofErr w:type="spellEnd"/>
      <w:r>
        <w:t xml:space="preserve"> have been at the forefront of automating communication to help businesses send notifications as quickly as possible whenever a disaster strikes.</w:t>
      </w:r>
    </w:p>
    <w:p w14:paraId="29456A70" w14:textId="77777777" w:rsidR="00E9351A" w:rsidRPr="00AB5212" w:rsidRDefault="00E9351A" w:rsidP="00AB5212">
      <w:pPr>
        <w:tabs>
          <w:tab w:val="left" w:pos="5205"/>
        </w:tabs>
        <w:spacing w:line="480" w:lineRule="auto"/>
        <w:ind w:firstLine="720"/>
        <w:jc w:val="center"/>
        <w:rPr>
          <w:b/>
        </w:rPr>
      </w:pPr>
      <w:r w:rsidRPr="00AB5212">
        <w:rPr>
          <w:b/>
        </w:rPr>
        <w:t>Backup and Data Center Sites</w:t>
      </w:r>
    </w:p>
    <w:p w14:paraId="6711226D" w14:textId="55ACE0CA" w:rsidR="00E9351A" w:rsidRDefault="00E9351A" w:rsidP="00E9351A">
      <w:pPr>
        <w:tabs>
          <w:tab w:val="left" w:pos="5205"/>
        </w:tabs>
        <w:spacing w:line="480" w:lineRule="auto"/>
        <w:ind w:firstLine="720"/>
      </w:pPr>
      <w:r>
        <w:t xml:space="preserve">Businesses have been reevaluating their disaster recovery methods, considering multiple options, prominent among them being backing up their data to the cloud, through virtualization, or from a distanced backup center. Making these decisions requires considering the types of disasters, the amount of data a company is willing to lose, and the urgency to get the business running again. Some companies have opted for the distanced backup where data is replicated to active data centers, while in </w:t>
      </w:r>
      <w:bookmarkStart w:id="0" w:name="_GoBack"/>
      <w:bookmarkEnd w:id="0"/>
      <w:r w:rsidR="008302F0">
        <w:t>others;</w:t>
      </w:r>
      <w:r>
        <w:t xml:space="preserve"> data is replicated and stored in inactive data centers. The latter will require powering on and may take 24 to 72 hours before the information is fully accessible (</w:t>
      </w:r>
      <w:proofErr w:type="spellStart"/>
      <w:r>
        <w:t>Mearian</w:t>
      </w:r>
      <w:proofErr w:type="spellEnd"/>
      <w:r>
        <w:t>, 2011). Virtualization could be among the best measures as it includes integrating machines of high technology which are able to recover data up to the point of usage without having backed it up to a different server.</w:t>
      </w:r>
    </w:p>
    <w:p w14:paraId="1762A457" w14:textId="77777777" w:rsidR="00E9351A" w:rsidRPr="00AB5212" w:rsidRDefault="00E9351A" w:rsidP="00AB5212">
      <w:pPr>
        <w:tabs>
          <w:tab w:val="left" w:pos="5205"/>
        </w:tabs>
        <w:spacing w:line="480" w:lineRule="auto"/>
        <w:ind w:firstLine="720"/>
        <w:jc w:val="center"/>
        <w:rPr>
          <w:b/>
        </w:rPr>
      </w:pPr>
      <w:r w:rsidRPr="00AB5212">
        <w:rPr>
          <w:b/>
        </w:rPr>
        <w:t>Backing Up to the Cloud</w:t>
      </w:r>
    </w:p>
    <w:p w14:paraId="5F0F7B1B" w14:textId="3E4750EF" w:rsidR="001C5DCE" w:rsidRDefault="00E9351A" w:rsidP="00E9351A">
      <w:pPr>
        <w:tabs>
          <w:tab w:val="left" w:pos="5205"/>
        </w:tabs>
        <w:spacing w:line="480" w:lineRule="auto"/>
        <w:ind w:firstLine="720"/>
      </w:pPr>
      <w:r>
        <w:t>Backing up data to the cloud may involve outsourcing services from providers such as Google or Microsoft, whose prices may be extremely high for huge amounts of data. However, these providers offer a public cloud which may be essential for small and medium enterprises. For large companies that can afford the installation of private clouds, it could be the best option (</w:t>
      </w:r>
      <w:proofErr w:type="spellStart"/>
      <w:r>
        <w:t>Alshammari</w:t>
      </w:r>
      <w:proofErr w:type="spellEnd"/>
      <w:r>
        <w:t xml:space="preserve"> et al., 2017). Small and medium enterprises are advised to ensure that their budgets can access only the data that would help run the business in cases of disasters. Yet, choosing a cloud service provider requires caution since a disaster could affect both the company and its cloud service provider.</w:t>
      </w:r>
    </w:p>
    <w:p w14:paraId="3B64D4B6" w14:textId="300F54E6" w:rsidR="001C5DCE" w:rsidRDefault="001C5DCE" w:rsidP="001C5DCE">
      <w:r>
        <w:br w:type="page"/>
      </w:r>
    </w:p>
    <w:p w14:paraId="7C184E78" w14:textId="58245407" w:rsidR="00DD1973" w:rsidRDefault="00DD1973" w:rsidP="00DD1973">
      <w:pPr>
        <w:tabs>
          <w:tab w:val="left" w:pos="5205"/>
        </w:tabs>
        <w:spacing w:line="480" w:lineRule="auto"/>
        <w:ind w:firstLine="720"/>
        <w:jc w:val="center"/>
      </w:pPr>
      <w:r>
        <w:t>References</w:t>
      </w:r>
    </w:p>
    <w:p w14:paraId="67C1D42B" w14:textId="77777777" w:rsidR="00DD1973" w:rsidRDefault="00DD1973" w:rsidP="00DD1973">
      <w:pPr>
        <w:tabs>
          <w:tab w:val="left" w:pos="5205"/>
        </w:tabs>
        <w:spacing w:line="480" w:lineRule="auto"/>
        <w:ind w:left="720" w:hanging="720"/>
      </w:pPr>
      <w:proofErr w:type="spellStart"/>
      <w:proofErr w:type="gramStart"/>
      <w:r w:rsidRPr="00DD1973">
        <w:t>Alshammari</w:t>
      </w:r>
      <w:proofErr w:type="spellEnd"/>
      <w:r w:rsidRPr="00DD1973">
        <w:t xml:space="preserve">, M. M., </w:t>
      </w:r>
      <w:proofErr w:type="spellStart"/>
      <w:r w:rsidRPr="00DD1973">
        <w:t>Alwan</w:t>
      </w:r>
      <w:proofErr w:type="spellEnd"/>
      <w:r w:rsidRPr="00DD1973">
        <w:t xml:space="preserve">, A. A., </w:t>
      </w:r>
      <w:proofErr w:type="spellStart"/>
      <w:r w:rsidRPr="00DD1973">
        <w:t>Nordin</w:t>
      </w:r>
      <w:proofErr w:type="spellEnd"/>
      <w:r w:rsidRPr="00DD1973">
        <w:t>, A., &amp; Al-</w:t>
      </w:r>
      <w:proofErr w:type="spellStart"/>
      <w:r w:rsidRPr="00DD1973">
        <w:t>Shaikhli</w:t>
      </w:r>
      <w:proofErr w:type="spellEnd"/>
      <w:r w:rsidRPr="00DD1973">
        <w:t>, I. F. (2017, November).</w:t>
      </w:r>
      <w:proofErr w:type="gramEnd"/>
      <w:r w:rsidRPr="00DD1973">
        <w:t xml:space="preserve"> Disaster recovery in single-cloud and multi-cloud environments: Issues and challenges. </w:t>
      </w:r>
      <w:proofErr w:type="gramStart"/>
      <w:r w:rsidRPr="00DD1973">
        <w:t>In </w:t>
      </w:r>
      <w:r w:rsidRPr="00DD1973">
        <w:rPr>
          <w:i/>
          <w:iCs/>
        </w:rPr>
        <w:t>2017 4th IEEE International Conference on Engineering Technologies and Applied Sciences (ICETAS)</w:t>
      </w:r>
      <w:r w:rsidRPr="00DD1973">
        <w:t> (pp. 1-7).</w:t>
      </w:r>
      <w:proofErr w:type="gramEnd"/>
      <w:r w:rsidRPr="00DD1973">
        <w:t xml:space="preserve"> </w:t>
      </w:r>
      <w:proofErr w:type="gramStart"/>
      <w:r w:rsidRPr="00DD1973">
        <w:t>IEEE.</w:t>
      </w:r>
      <w:proofErr w:type="gramEnd"/>
    </w:p>
    <w:p w14:paraId="77A5ADF0" w14:textId="621BE2B3" w:rsidR="001C5DCE" w:rsidRDefault="001C5DCE" w:rsidP="00DD1973">
      <w:pPr>
        <w:tabs>
          <w:tab w:val="left" w:pos="5205"/>
        </w:tabs>
        <w:spacing w:line="480" w:lineRule="auto"/>
        <w:ind w:left="720" w:hanging="720"/>
      </w:pPr>
      <w:r w:rsidRPr="001C5DCE">
        <w:t xml:space="preserve">Fernando, M. S. (2017, September). </w:t>
      </w:r>
      <w:proofErr w:type="gramStart"/>
      <w:r w:rsidRPr="001C5DCE">
        <w:t>IT disaster recovery system to ensure the business continuity of an organization.</w:t>
      </w:r>
      <w:proofErr w:type="gramEnd"/>
      <w:r w:rsidRPr="001C5DCE">
        <w:t xml:space="preserve"> </w:t>
      </w:r>
      <w:proofErr w:type="gramStart"/>
      <w:r w:rsidRPr="001C5DCE">
        <w:t>In </w:t>
      </w:r>
      <w:r w:rsidRPr="001C5DCE">
        <w:rPr>
          <w:i/>
          <w:iCs/>
        </w:rPr>
        <w:t>2017 National Information Technology Conference (NITC)</w:t>
      </w:r>
      <w:r w:rsidRPr="001C5DCE">
        <w:t> (pp. 46-48).</w:t>
      </w:r>
      <w:proofErr w:type="gramEnd"/>
      <w:r w:rsidRPr="001C5DCE">
        <w:t xml:space="preserve"> </w:t>
      </w:r>
      <w:proofErr w:type="gramStart"/>
      <w:r w:rsidRPr="001C5DCE">
        <w:t>IEEE.</w:t>
      </w:r>
      <w:proofErr w:type="gramEnd"/>
    </w:p>
    <w:p w14:paraId="4DF04FA6" w14:textId="11F55E4D" w:rsidR="00DD1973" w:rsidRDefault="00DD1973" w:rsidP="00DD1973">
      <w:pPr>
        <w:tabs>
          <w:tab w:val="left" w:pos="5205"/>
        </w:tabs>
        <w:spacing w:line="480" w:lineRule="auto"/>
        <w:ind w:left="720" w:hanging="720"/>
        <w:rPr>
          <w:bCs/>
          <w:i/>
        </w:rPr>
      </w:pPr>
      <w:proofErr w:type="spellStart"/>
      <w:r>
        <w:t>Mearian</w:t>
      </w:r>
      <w:proofErr w:type="spellEnd"/>
      <w:r>
        <w:t xml:space="preserve"> L. (2011). </w:t>
      </w:r>
      <w:r w:rsidRPr="00DD1973">
        <w:rPr>
          <w:bCs/>
        </w:rPr>
        <w:t>9/11: Top lessons learned for disaster recovery</w:t>
      </w:r>
      <w:r>
        <w:rPr>
          <w:bCs/>
        </w:rPr>
        <w:t xml:space="preserve">. </w:t>
      </w:r>
      <w:r w:rsidRPr="00DD1973">
        <w:rPr>
          <w:bCs/>
        </w:rPr>
        <w:t>A renewed focus on the workforce is biggest change over the past decade</w:t>
      </w:r>
      <w:r>
        <w:rPr>
          <w:bCs/>
        </w:rPr>
        <w:t xml:space="preserve">. </w:t>
      </w:r>
      <w:proofErr w:type="gramStart"/>
      <w:r w:rsidRPr="00DD1973">
        <w:rPr>
          <w:bCs/>
          <w:i/>
        </w:rPr>
        <w:t>Computer World.</w:t>
      </w:r>
      <w:proofErr w:type="gramEnd"/>
      <w:r>
        <w:rPr>
          <w:bCs/>
          <w:i/>
        </w:rPr>
        <w:t xml:space="preserve"> </w:t>
      </w:r>
      <w:hyperlink r:id="rId9" w:history="1">
        <w:r w:rsidRPr="00880248">
          <w:rPr>
            <w:rStyle w:val="Hyperlink"/>
            <w:bCs/>
            <w:i/>
          </w:rPr>
          <w:t>https://www.computerworld.com/article/2510996/9-11--top-lessons-learned-for-disaster-recovery.html</w:t>
        </w:r>
      </w:hyperlink>
    </w:p>
    <w:p w14:paraId="3A916D55" w14:textId="3737A39B" w:rsidR="00DD1973" w:rsidRPr="00DD1973" w:rsidRDefault="00DD1973" w:rsidP="00DD1973">
      <w:pPr>
        <w:tabs>
          <w:tab w:val="left" w:pos="5205"/>
        </w:tabs>
        <w:spacing w:line="480" w:lineRule="auto"/>
        <w:ind w:left="720" w:hanging="720"/>
        <w:rPr>
          <w:bCs/>
        </w:rPr>
      </w:pPr>
      <w:proofErr w:type="spellStart"/>
      <w:proofErr w:type="gramStart"/>
      <w:r w:rsidRPr="00DD1973">
        <w:rPr>
          <w:bCs/>
        </w:rPr>
        <w:t>Nisar</w:t>
      </w:r>
      <w:proofErr w:type="spellEnd"/>
      <w:r w:rsidRPr="00DD1973">
        <w:rPr>
          <w:bCs/>
        </w:rPr>
        <w:t xml:space="preserve">, T. M., </w:t>
      </w:r>
      <w:proofErr w:type="spellStart"/>
      <w:r w:rsidRPr="00DD1973">
        <w:rPr>
          <w:bCs/>
        </w:rPr>
        <w:t>Prabhakar</w:t>
      </w:r>
      <w:proofErr w:type="spellEnd"/>
      <w:r w:rsidRPr="00DD1973">
        <w:rPr>
          <w:bCs/>
        </w:rPr>
        <w:t xml:space="preserve">, G., &amp; </w:t>
      </w:r>
      <w:proofErr w:type="spellStart"/>
      <w:r w:rsidRPr="00DD1973">
        <w:rPr>
          <w:bCs/>
        </w:rPr>
        <w:t>Strakova</w:t>
      </w:r>
      <w:proofErr w:type="spellEnd"/>
      <w:r w:rsidRPr="00DD1973">
        <w:rPr>
          <w:bCs/>
        </w:rPr>
        <w:t>, L. (2019).</w:t>
      </w:r>
      <w:proofErr w:type="gramEnd"/>
      <w:r w:rsidRPr="00DD1973">
        <w:rPr>
          <w:bCs/>
        </w:rPr>
        <w:t xml:space="preserve"> Social media information benefits, knowledge management and smart organizations. </w:t>
      </w:r>
      <w:r w:rsidRPr="00DD1973">
        <w:rPr>
          <w:bCs/>
          <w:i/>
          <w:iCs/>
        </w:rPr>
        <w:t>Journal of Business Research</w:t>
      </w:r>
      <w:r w:rsidRPr="00DD1973">
        <w:rPr>
          <w:bCs/>
        </w:rPr>
        <w:t>, </w:t>
      </w:r>
      <w:r w:rsidRPr="00DD1973">
        <w:rPr>
          <w:bCs/>
          <w:i/>
          <w:iCs/>
        </w:rPr>
        <w:t>94</w:t>
      </w:r>
      <w:r w:rsidRPr="00DD1973">
        <w:rPr>
          <w:bCs/>
        </w:rPr>
        <w:t>, 264-272.</w:t>
      </w:r>
    </w:p>
    <w:p w14:paraId="1099D3CC" w14:textId="6B0BFAA8" w:rsidR="00DD1973" w:rsidRPr="00DD1973" w:rsidRDefault="00DD1973" w:rsidP="00DD1973">
      <w:pPr>
        <w:tabs>
          <w:tab w:val="left" w:pos="5205"/>
        </w:tabs>
        <w:spacing w:line="480" w:lineRule="auto"/>
        <w:ind w:left="720" w:hanging="720"/>
        <w:rPr>
          <w:b/>
          <w:bCs/>
        </w:rPr>
      </w:pPr>
    </w:p>
    <w:p w14:paraId="04B8679D" w14:textId="6C473893" w:rsidR="00DD1973" w:rsidRPr="004B144C" w:rsidRDefault="00DD1973" w:rsidP="00DD1973">
      <w:pPr>
        <w:tabs>
          <w:tab w:val="left" w:pos="5205"/>
        </w:tabs>
        <w:spacing w:line="480" w:lineRule="auto"/>
        <w:ind w:left="720" w:hanging="720"/>
      </w:pPr>
    </w:p>
    <w:sectPr w:rsidR="00DD1973" w:rsidRPr="004B144C"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37096" w14:textId="77777777" w:rsidR="00F60CCD" w:rsidRDefault="00F60CCD">
      <w:pPr>
        <w:spacing w:after="0" w:line="240" w:lineRule="auto"/>
      </w:pPr>
      <w:r>
        <w:separator/>
      </w:r>
    </w:p>
  </w:endnote>
  <w:endnote w:type="continuationSeparator" w:id="0">
    <w:p w14:paraId="2FC60491" w14:textId="77777777" w:rsidR="00F60CCD" w:rsidRDefault="00F6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FCE14" w14:textId="77777777" w:rsidR="00F60CCD" w:rsidRDefault="00F60CCD">
      <w:pPr>
        <w:spacing w:after="0" w:line="240" w:lineRule="auto"/>
      </w:pPr>
      <w:r>
        <w:separator/>
      </w:r>
    </w:p>
  </w:footnote>
  <w:footnote w:type="continuationSeparator" w:id="0">
    <w:p w14:paraId="7881BB23" w14:textId="77777777" w:rsidR="00F60CCD" w:rsidRDefault="00F60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C5DCE"/>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B144C"/>
    <w:rsid w:val="004C26F9"/>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80071D"/>
    <w:rsid w:val="00811881"/>
    <w:rsid w:val="008302F0"/>
    <w:rsid w:val="00837F8B"/>
    <w:rsid w:val="00871AF1"/>
    <w:rsid w:val="00886F7F"/>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1F4C"/>
    <w:rsid w:val="0099419B"/>
    <w:rsid w:val="009C5022"/>
    <w:rsid w:val="009E5128"/>
    <w:rsid w:val="00A021D2"/>
    <w:rsid w:val="00A109A6"/>
    <w:rsid w:val="00A15DAA"/>
    <w:rsid w:val="00A21CAB"/>
    <w:rsid w:val="00A23F14"/>
    <w:rsid w:val="00A305D2"/>
    <w:rsid w:val="00A65313"/>
    <w:rsid w:val="00A6674A"/>
    <w:rsid w:val="00A7614D"/>
    <w:rsid w:val="00A90458"/>
    <w:rsid w:val="00A908CB"/>
    <w:rsid w:val="00A91C43"/>
    <w:rsid w:val="00A9271E"/>
    <w:rsid w:val="00A935B4"/>
    <w:rsid w:val="00A95C54"/>
    <w:rsid w:val="00AA0EB5"/>
    <w:rsid w:val="00AA57E2"/>
    <w:rsid w:val="00AA6F5A"/>
    <w:rsid w:val="00AA78E6"/>
    <w:rsid w:val="00AB1CE7"/>
    <w:rsid w:val="00AB2B19"/>
    <w:rsid w:val="00AB5212"/>
    <w:rsid w:val="00AC5101"/>
    <w:rsid w:val="00AD42BE"/>
    <w:rsid w:val="00AD78D0"/>
    <w:rsid w:val="00AF7454"/>
    <w:rsid w:val="00B006F3"/>
    <w:rsid w:val="00B106F8"/>
    <w:rsid w:val="00B1427D"/>
    <w:rsid w:val="00B25020"/>
    <w:rsid w:val="00B31994"/>
    <w:rsid w:val="00B34385"/>
    <w:rsid w:val="00B3541B"/>
    <w:rsid w:val="00B53B90"/>
    <w:rsid w:val="00B640FD"/>
    <w:rsid w:val="00B651CF"/>
    <w:rsid w:val="00B65F71"/>
    <w:rsid w:val="00B67E66"/>
    <w:rsid w:val="00BB59BC"/>
    <w:rsid w:val="00BD02AE"/>
    <w:rsid w:val="00BF05FA"/>
    <w:rsid w:val="00C01E80"/>
    <w:rsid w:val="00C0278D"/>
    <w:rsid w:val="00C03D28"/>
    <w:rsid w:val="00C11D01"/>
    <w:rsid w:val="00C16B86"/>
    <w:rsid w:val="00C24DE0"/>
    <w:rsid w:val="00C416EC"/>
    <w:rsid w:val="00C419FC"/>
    <w:rsid w:val="00C61E67"/>
    <w:rsid w:val="00C66B5D"/>
    <w:rsid w:val="00C74660"/>
    <w:rsid w:val="00C77C8F"/>
    <w:rsid w:val="00C818C7"/>
    <w:rsid w:val="00C82270"/>
    <w:rsid w:val="00C82553"/>
    <w:rsid w:val="00C84394"/>
    <w:rsid w:val="00C95B07"/>
    <w:rsid w:val="00CA3DC5"/>
    <w:rsid w:val="00CA77C4"/>
    <w:rsid w:val="00CB3EEF"/>
    <w:rsid w:val="00CC2B70"/>
    <w:rsid w:val="00CC3D88"/>
    <w:rsid w:val="00CD1CAB"/>
    <w:rsid w:val="00CF1E88"/>
    <w:rsid w:val="00CF3551"/>
    <w:rsid w:val="00D065D2"/>
    <w:rsid w:val="00D32346"/>
    <w:rsid w:val="00D40778"/>
    <w:rsid w:val="00D45C99"/>
    <w:rsid w:val="00D54749"/>
    <w:rsid w:val="00D64CD9"/>
    <w:rsid w:val="00D67C9C"/>
    <w:rsid w:val="00D7670B"/>
    <w:rsid w:val="00D77B78"/>
    <w:rsid w:val="00D824D6"/>
    <w:rsid w:val="00D97D06"/>
    <w:rsid w:val="00DB3A96"/>
    <w:rsid w:val="00DC03AF"/>
    <w:rsid w:val="00DD0658"/>
    <w:rsid w:val="00DD1973"/>
    <w:rsid w:val="00DD20F7"/>
    <w:rsid w:val="00DD64D2"/>
    <w:rsid w:val="00DF099D"/>
    <w:rsid w:val="00DF46A2"/>
    <w:rsid w:val="00DF48E8"/>
    <w:rsid w:val="00E125BE"/>
    <w:rsid w:val="00E2107F"/>
    <w:rsid w:val="00E46D5E"/>
    <w:rsid w:val="00E65939"/>
    <w:rsid w:val="00E906C8"/>
    <w:rsid w:val="00E9351A"/>
    <w:rsid w:val="00E95CC8"/>
    <w:rsid w:val="00E96A0F"/>
    <w:rsid w:val="00EA2B88"/>
    <w:rsid w:val="00EC2021"/>
    <w:rsid w:val="00EC6032"/>
    <w:rsid w:val="00ED741D"/>
    <w:rsid w:val="00F03B24"/>
    <w:rsid w:val="00F1259D"/>
    <w:rsid w:val="00F12AB4"/>
    <w:rsid w:val="00F1331E"/>
    <w:rsid w:val="00F17E08"/>
    <w:rsid w:val="00F36C89"/>
    <w:rsid w:val="00F53D5E"/>
    <w:rsid w:val="00F57324"/>
    <w:rsid w:val="00F60CCD"/>
    <w:rsid w:val="00F8424F"/>
    <w:rsid w:val="00F8558A"/>
    <w:rsid w:val="00F94065"/>
    <w:rsid w:val="00F95CD4"/>
    <w:rsid w:val="00FA243D"/>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19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197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DD19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1973"/>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19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197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DD19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197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964240291">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060252200">
      <w:bodyDiv w:val="1"/>
      <w:marLeft w:val="0"/>
      <w:marRight w:val="0"/>
      <w:marTop w:val="0"/>
      <w:marBottom w:val="0"/>
      <w:divBdr>
        <w:top w:val="none" w:sz="0" w:space="0" w:color="auto"/>
        <w:left w:val="none" w:sz="0" w:space="0" w:color="auto"/>
        <w:bottom w:val="none" w:sz="0" w:space="0" w:color="auto"/>
        <w:right w:val="none" w:sz="0" w:space="0" w:color="auto"/>
      </w:divBdr>
    </w:div>
    <w:div w:id="1060398946">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878423011">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omputerworld.com/article/2510996/9-11--top-lessons-learned-for-disaster-recov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8F10C-0776-43A7-9542-BF37A03B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2021-02-20T01:16:00Z</dcterms:created>
  <dcterms:modified xsi:type="dcterms:W3CDTF">2021-02-20T01:16:00Z</dcterms:modified>
</cp:coreProperties>
</file>