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70C" w:rsidRPr="001666C3" w:rsidRDefault="0024470C" w:rsidP="00D65FAC">
      <w:pPr>
        <w:spacing w:line="480" w:lineRule="auto"/>
        <w:jc w:val="center"/>
        <w:rPr>
          <w:rFonts w:ascii="Times New Roman" w:hAnsi="Times New Roman" w:cs="Times New Roman"/>
          <w:sz w:val="24"/>
          <w:szCs w:val="24"/>
        </w:rPr>
      </w:pPr>
      <w:r w:rsidRPr="001666C3">
        <w:rPr>
          <w:rFonts w:ascii="Times New Roman" w:hAnsi="Times New Roman" w:cs="Times New Roman"/>
          <w:sz w:val="24"/>
          <w:szCs w:val="24"/>
        </w:rPr>
        <w:t>Jane, a 25-year-old</w:t>
      </w:r>
    </w:p>
    <w:p w:rsidR="0024470C" w:rsidRPr="001666C3" w:rsidRDefault="0024470C" w:rsidP="001666C3">
      <w:pPr>
        <w:spacing w:line="480" w:lineRule="auto"/>
        <w:jc w:val="center"/>
        <w:rPr>
          <w:rFonts w:ascii="Times New Roman" w:hAnsi="Times New Roman" w:cs="Times New Roman"/>
          <w:b/>
          <w:sz w:val="24"/>
          <w:szCs w:val="24"/>
        </w:rPr>
      </w:pPr>
      <w:r w:rsidRPr="001666C3">
        <w:rPr>
          <w:rFonts w:ascii="Times New Roman" w:hAnsi="Times New Roman" w:cs="Times New Roman"/>
          <w:b/>
          <w:sz w:val="24"/>
          <w:szCs w:val="24"/>
        </w:rPr>
        <w:t>Reassurance to Jane</w:t>
      </w:r>
    </w:p>
    <w:p w:rsidR="0024470C" w:rsidRPr="001666C3" w:rsidRDefault="0024470C" w:rsidP="001666C3">
      <w:pPr>
        <w:spacing w:line="480" w:lineRule="auto"/>
        <w:ind w:firstLine="720"/>
        <w:rPr>
          <w:rFonts w:ascii="Times New Roman" w:hAnsi="Times New Roman" w:cs="Times New Roman"/>
          <w:sz w:val="24"/>
          <w:szCs w:val="24"/>
        </w:rPr>
      </w:pPr>
      <w:r w:rsidRPr="001666C3">
        <w:rPr>
          <w:rFonts w:ascii="Times New Roman" w:hAnsi="Times New Roman" w:cs="Times New Roman"/>
          <w:sz w:val="24"/>
          <w:szCs w:val="24"/>
        </w:rPr>
        <w:t xml:space="preserve">Amoxicillin and Clavulanate are credible and effective medications that have been authorized by the Food and Drug Administration of the United States to breastfeeding mothers with mastitis (Greer, Sicherer &amp; Burks, 2019). Amoxicillin and Clavulanate may get into breast milk, but there are no known severe consequences to the infant, and so Jane should be less worried about the health status of her son. However, in rare circumstances, infants may develop some symptoms like irritation, constipation, and diarrhea, but this may not last for long, neither may they become severe for the infant. In addition, in case the infant develops any severe side effects that Jane may perceive to be as a result of the Amoxicillin and Clavulanate, then she should seek medical directions with immediate effect.    </w:t>
      </w:r>
    </w:p>
    <w:p w:rsidR="0024470C" w:rsidRPr="001666C3" w:rsidRDefault="0024470C" w:rsidP="001666C3">
      <w:pPr>
        <w:spacing w:line="480" w:lineRule="auto"/>
        <w:jc w:val="center"/>
        <w:rPr>
          <w:rFonts w:ascii="Times New Roman" w:hAnsi="Times New Roman" w:cs="Times New Roman"/>
          <w:b/>
          <w:sz w:val="24"/>
          <w:szCs w:val="24"/>
        </w:rPr>
      </w:pPr>
      <w:r w:rsidRPr="001666C3">
        <w:rPr>
          <w:rFonts w:ascii="Times New Roman" w:hAnsi="Times New Roman" w:cs="Times New Roman"/>
          <w:b/>
          <w:sz w:val="24"/>
          <w:szCs w:val="24"/>
        </w:rPr>
        <w:t>The Source of Evidence-based Information about the Safety of Breastfeeding Medications</w:t>
      </w:r>
    </w:p>
    <w:p w:rsidR="0024470C" w:rsidRPr="001666C3" w:rsidRDefault="0024470C" w:rsidP="001666C3">
      <w:pPr>
        <w:spacing w:line="480" w:lineRule="auto"/>
        <w:ind w:firstLine="720"/>
        <w:rPr>
          <w:rFonts w:ascii="Times New Roman" w:hAnsi="Times New Roman" w:cs="Times New Roman"/>
          <w:sz w:val="24"/>
          <w:szCs w:val="24"/>
        </w:rPr>
      </w:pPr>
      <w:r w:rsidRPr="001666C3">
        <w:rPr>
          <w:rFonts w:ascii="Times New Roman" w:hAnsi="Times New Roman" w:cs="Times New Roman"/>
          <w:sz w:val="24"/>
          <w:szCs w:val="24"/>
        </w:rPr>
        <w:t xml:space="preserve">One source where evidence-based information about the safety of breastfeeding medications can be found in the Food and Drug Administration (FDA) of the United States. The Food and Drug Administration is a public health agency that is mandated to safeguard the health of the Americans by upholding the safety and efficacy of drugs for human consumption (Meek &amp; Hatcher, 2017). FDA also regulates all drug manufacturing companies, and thus before any drug is released to the public of human use, it must be tested, verified, and approved by the agency. Another reliable source is the American Academy of Pediatrics (AAP). AAP is also a public health agency in the United States mandated with publishing regular information concerning the safety of breastfeeding medications (Greer, Sicherer &amp; Burks, 2019). In addition, the AAP provides guidelines about the entry of certain drugs into breast milk, and therefore, it is a reliable </w:t>
      </w:r>
      <w:r w:rsidRPr="001666C3">
        <w:rPr>
          <w:rFonts w:ascii="Times New Roman" w:hAnsi="Times New Roman" w:cs="Times New Roman"/>
          <w:sz w:val="24"/>
          <w:szCs w:val="24"/>
        </w:rPr>
        <w:lastRenderedPageBreak/>
        <w:t xml:space="preserve">source for evidence-based information concerning the safety of breastfeeding medications. Besides, the US National Library of Medicine, through its subsidiary called National Institutes of Health, keeps a database called LacMed that contains crucial information pertaining to medications and breastfeeding (Meek &amp; Hatcher, 2017).      </w:t>
      </w:r>
    </w:p>
    <w:p w:rsidR="0024470C" w:rsidRPr="001666C3" w:rsidRDefault="0024470C" w:rsidP="001666C3">
      <w:pPr>
        <w:spacing w:line="480" w:lineRule="auto"/>
        <w:jc w:val="center"/>
        <w:rPr>
          <w:rFonts w:ascii="Times New Roman" w:hAnsi="Times New Roman" w:cs="Times New Roman"/>
          <w:b/>
          <w:sz w:val="24"/>
          <w:szCs w:val="24"/>
        </w:rPr>
      </w:pPr>
      <w:r w:rsidRPr="001666C3">
        <w:rPr>
          <w:rFonts w:ascii="Times New Roman" w:hAnsi="Times New Roman" w:cs="Times New Roman"/>
          <w:b/>
          <w:sz w:val="24"/>
          <w:szCs w:val="24"/>
        </w:rPr>
        <w:t>Education to Jane</w:t>
      </w:r>
    </w:p>
    <w:p w:rsidR="0024470C" w:rsidRPr="001666C3" w:rsidRDefault="0024470C" w:rsidP="001666C3">
      <w:pPr>
        <w:spacing w:line="480" w:lineRule="auto"/>
        <w:ind w:firstLine="720"/>
        <w:rPr>
          <w:rFonts w:ascii="Times New Roman" w:hAnsi="Times New Roman" w:cs="Times New Roman"/>
          <w:sz w:val="24"/>
          <w:szCs w:val="24"/>
        </w:rPr>
      </w:pPr>
      <w:r w:rsidRPr="001666C3">
        <w:rPr>
          <w:rFonts w:ascii="Times New Roman" w:hAnsi="Times New Roman" w:cs="Times New Roman"/>
          <w:sz w:val="24"/>
          <w:szCs w:val="24"/>
        </w:rPr>
        <w:t xml:space="preserve">According to the American Academy of Pediatrics, Augmentin may not have severe side effects on infants (de Marco et al 2017). However, in case of any side effects, the mother should notify the respective healthcare provider immediately. In rare cases, Amoxicillin and Clavulanate may penetrate the breast milk and result in side effects to the infant. Some of the potential side effects of Amoxicillin and Clavulanate to infants include rashes and itching on the skin, diarrhea, vomiting, pain in the stomach, and nausea. Other severe side effects may include loss of body weight, colored urine, and jaundice. To prevent the above side effects to Harrison, Jane should ensure she complies with the instructions given by the healthcare provider. Jane should ensure that she follows the prescribed medication to the end as well as according to the required dosages. For instance, according to the Food and Drug Administration, Amoxicillin and Clavulanate should be used for the utmost 10 days, after which Jane should discard them (de Marco et al 2017). More importantly, Jane should ensure that she shakes the Amoxicillin and Clavulanate well before use.      </w:t>
      </w:r>
    </w:p>
    <w:p w:rsidR="0024470C" w:rsidRPr="001666C3" w:rsidRDefault="0024470C" w:rsidP="001666C3">
      <w:pPr>
        <w:spacing w:line="480" w:lineRule="auto"/>
        <w:jc w:val="center"/>
        <w:rPr>
          <w:rFonts w:ascii="Times New Roman" w:hAnsi="Times New Roman" w:cs="Times New Roman"/>
          <w:b/>
          <w:sz w:val="24"/>
          <w:szCs w:val="24"/>
        </w:rPr>
      </w:pPr>
      <w:r w:rsidRPr="001666C3">
        <w:rPr>
          <w:rFonts w:ascii="Times New Roman" w:hAnsi="Times New Roman" w:cs="Times New Roman"/>
          <w:b/>
          <w:sz w:val="24"/>
          <w:szCs w:val="24"/>
        </w:rPr>
        <w:t>Importance of the "Pregnancy and Lactation Labeling Rule"</w:t>
      </w:r>
    </w:p>
    <w:p w:rsidR="0024470C" w:rsidRPr="001666C3" w:rsidRDefault="0024470C" w:rsidP="001666C3">
      <w:pPr>
        <w:spacing w:line="480" w:lineRule="auto"/>
        <w:ind w:firstLine="720"/>
        <w:rPr>
          <w:rFonts w:ascii="Times New Roman" w:hAnsi="Times New Roman" w:cs="Times New Roman"/>
          <w:sz w:val="24"/>
          <w:szCs w:val="24"/>
        </w:rPr>
      </w:pPr>
      <w:r w:rsidRPr="001666C3">
        <w:rPr>
          <w:rFonts w:ascii="Times New Roman" w:hAnsi="Times New Roman" w:cs="Times New Roman"/>
          <w:sz w:val="24"/>
          <w:szCs w:val="24"/>
        </w:rPr>
        <w:t xml:space="preserve">According to Brucker &amp; King (2017), the "Pregnancy and Lactation Labeling Rule" is important because it is used to enhance effective communication of the side effects as well as the benefits of using medications during pregnancy as well as lactation between the healthcare provider and the patients. The "Pregnancy and Lactation Labeling Rule" is also used as the basis for providing counseling to lactating mothers who may want to consume and drugs (Brucker &amp; King, 2017). As a result, the lactating mothers are able to make the right choices for themselves and their infants. </w:t>
      </w:r>
    </w:p>
    <w:p w:rsidR="001666C3" w:rsidRDefault="001666C3" w:rsidP="001666C3">
      <w:pPr>
        <w:spacing w:line="480" w:lineRule="auto"/>
        <w:jc w:val="center"/>
        <w:rPr>
          <w:rFonts w:ascii="Times New Roman" w:hAnsi="Times New Roman" w:cs="Times New Roman"/>
          <w:sz w:val="24"/>
          <w:szCs w:val="24"/>
        </w:rPr>
      </w:pPr>
    </w:p>
    <w:p w:rsidR="001666C3" w:rsidRDefault="001666C3" w:rsidP="001666C3">
      <w:pPr>
        <w:spacing w:line="480" w:lineRule="auto"/>
        <w:jc w:val="center"/>
        <w:rPr>
          <w:rFonts w:ascii="Times New Roman" w:hAnsi="Times New Roman" w:cs="Times New Roman"/>
          <w:sz w:val="24"/>
          <w:szCs w:val="24"/>
        </w:rPr>
      </w:pPr>
    </w:p>
    <w:p w:rsidR="001666C3" w:rsidRDefault="001666C3" w:rsidP="001666C3">
      <w:pPr>
        <w:spacing w:line="480" w:lineRule="auto"/>
        <w:jc w:val="center"/>
        <w:rPr>
          <w:rFonts w:ascii="Times New Roman" w:hAnsi="Times New Roman" w:cs="Times New Roman"/>
          <w:sz w:val="24"/>
          <w:szCs w:val="24"/>
        </w:rPr>
      </w:pPr>
    </w:p>
    <w:p w:rsidR="001666C3" w:rsidRDefault="001666C3" w:rsidP="001666C3">
      <w:pPr>
        <w:spacing w:line="480" w:lineRule="auto"/>
        <w:jc w:val="center"/>
        <w:rPr>
          <w:rFonts w:ascii="Times New Roman" w:hAnsi="Times New Roman" w:cs="Times New Roman"/>
          <w:sz w:val="24"/>
          <w:szCs w:val="24"/>
        </w:rPr>
      </w:pPr>
    </w:p>
    <w:p w:rsidR="001666C3" w:rsidRDefault="001666C3" w:rsidP="001666C3">
      <w:pPr>
        <w:spacing w:line="480" w:lineRule="auto"/>
        <w:jc w:val="center"/>
        <w:rPr>
          <w:rFonts w:ascii="Times New Roman" w:hAnsi="Times New Roman" w:cs="Times New Roman"/>
          <w:sz w:val="24"/>
          <w:szCs w:val="24"/>
        </w:rPr>
      </w:pPr>
    </w:p>
    <w:p w:rsidR="001666C3" w:rsidRDefault="001666C3" w:rsidP="001666C3">
      <w:pPr>
        <w:spacing w:line="480" w:lineRule="auto"/>
        <w:jc w:val="center"/>
        <w:rPr>
          <w:rFonts w:ascii="Times New Roman" w:hAnsi="Times New Roman" w:cs="Times New Roman"/>
          <w:sz w:val="24"/>
          <w:szCs w:val="24"/>
        </w:rPr>
      </w:pPr>
    </w:p>
    <w:p w:rsidR="001666C3" w:rsidRDefault="001666C3" w:rsidP="001666C3">
      <w:pPr>
        <w:spacing w:line="480" w:lineRule="auto"/>
        <w:jc w:val="center"/>
        <w:rPr>
          <w:rFonts w:ascii="Times New Roman" w:hAnsi="Times New Roman" w:cs="Times New Roman"/>
          <w:sz w:val="24"/>
          <w:szCs w:val="24"/>
        </w:rPr>
      </w:pPr>
    </w:p>
    <w:p w:rsidR="001666C3" w:rsidRDefault="001666C3" w:rsidP="001666C3">
      <w:pPr>
        <w:spacing w:line="480" w:lineRule="auto"/>
        <w:jc w:val="center"/>
        <w:rPr>
          <w:rFonts w:ascii="Times New Roman" w:hAnsi="Times New Roman" w:cs="Times New Roman"/>
          <w:sz w:val="24"/>
          <w:szCs w:val="24"/>
        </w:rPr>
      </w:pPr>
    </w:p>
    <w:p w:rsidR="001666C3" w:rsidRDefault="001666C3" w:rsidP="001666C3">
      <w:pPr>
        <w:spacing w:line="480" w:lineRule="auto"/>
        <w:jc w:val="center"/>
        <w:rPr>
          <w:rFonts w:ascii="Times New Roman" w:hAnsi="Times New Roman" w:cs="Times New Roman"/>
          <w:sz w:val="24"/>
          <w:szCs w:val="24"/>
        </w:rPr>
      </w:pPr>
    </w:p>
    <w:p w:rsidR="001666C3" w:rsidRDefault="001666C3" w:rsidP="001666C3">
      <w:pPr>
        <w:spacing w:line="480" w:lineRule="auto"/>
        <w:jc w:val="center"/>
        <w:rPr>
          <w:rFonts w:ascii="Times New Roman" w:hAnsi="Times New Roman" w:cs="Times New Roman"/>
          <w:sz w:val="24"/>
          <w:szCs w:val="24"/>
        </w:rPr>
      </w:pPr>
    </w:p>
    <w:p w:rsidR="001666C3" w:rsidRDefault="001666C3" w:rsidP="001666C3">
      <w:pPr>
        <w:spacing w:line="480" w:lineRule="auto"/>
        <w:jc w:val="center"/>
        <w:rPr>
          <w:rFonts w:ascii="Times New Roman" w:hAnsi="Times New Roman" w:cs="Times New Roman"/>
          <w:sz w:val="24"/>
          <w:szCs w:val="24"/>
        </w:rPr>
      </w:pPr>
    </w:p>
    <w:p w:rsidR="001666C3" w:rsidRDefault="001666C3" w:rsidP="001666C3">
      <w:pPr>
        <w:spacing w:line="480" w:lineRule="auto"/>
        <w:jc w:val="center"/>
        <w:rPr>
          <w:rFonts w:ascii="Times New Roman" w:hAnsi="Times New Roman" w:cs="Times New Roman"/>
          <w:sz w:val="24"/>
          <w:szCs w:val="24"/>
        </w:rPr>
      </w:pPr>
    </w:p>
    <w:p w:rsidR="001666C3" w:rsidRDefault="001666C3" w:rsidP="001666C3">
      <w:pPr>
        <w:spacing w:line="480" w:lineRule="auto"/>
        <w:jc w:val="center"/>
        <w:rPr>
          <w:rFonts w:ascii="Times New Roman" w:hAnsi="Times New Roman" w:cs="Times New Roman"/>
          <w:sz w:val="24"/>
          <w:szCs w:val="24"/>
        </w:rPr>
      </w:pPr>
    </w:p>
    <w:p w:rsidR="001666C3" w:rsidRDefault="001666C3" w:rsidP="001666C3">
      <w:pPr>
        <w:spacing w:line="480" w:lineRule="auto"/>
        <w:jc w:val="center"/>
        <w:rPr>
          <w:rFonts w:ascii="Times New Roman" w:hAnsi="Times New Roman" w:cs="Times New Roman"/>
          <w:sz w:val="24"/>
          <w:szCs w:val="24"/>
        </w:rPr>
      </w:pPr>
    </w:p>
    <w:p w:rsidR="0024470C" w:rsidRPr="001666C3" w:rsidRDefault="0024470C" w:rsidP="001666C3">
      <w:pPr>
        <w:spacing w:line="480" w:lineRule="auto"/>
        <w:jc w:val="center"/>
        <w:rPr>
          <w:rFonts w:ascii="Times New Roman" w:hAnsi="Times New Roman" w:cs="Times New Roman"/>
          <w:sz w:val="24"/>
          <w:szCs w:val="24"/>
        </w:rPr>
      </w:pPr>
      <w:bookmarkStart w:id="0" w:name="_GoBack"/>
      <w:bookmarkEnd w:id="0"/>
      <w:r w:rsidRPr="001666C3">
        <w:rPr>
          <w:rFonts w:ascii="Times New Roman" w:hAnsi="Times New Roman" w:cs="Times New Roman"/>
          <w:sz w:val="24"/>
          <w:szCs w:val="24"/>
        </w:rPr>
        <w:t>References</w:t>
      </w:r>
    </w:p>
    <w:p w:rsidR="0024470C" w:rsidRPr="001666C3" w:rsidRDefault="0024470C" w:rsidP="001666C3">
      <w:pPr>
        <w:spacing w:line="480" w:lineRule="auto"/>
        <w:ind w:left="720" w:hanging="720"/>
        <w:rPr>
          <w:rFonts w:ascii="Times New Roman" w:hAnsi="Times New Roman" w:cs="Times New Roman"/>
          <w:sz w:val="24"/>
          <w:szCs w:val="24"/>
        </w:rPr>
      </w:pPr>
      <w:r w:rsidRPr="001666C3">
        <w:rPr>
          <w:rFonts w:ascii="Times New Roman" w:hAnsi="Times New Roman" w:cs="Times New Roman"/>
          <w:sz w:val="24"/>
          <w:szCs w:val="24"/>
        </w:rPr>
        <w:t xml:space="preserve">Brucker, M. C., &amp; King, T. L. (2017). The 2015 US food and drug administration pregnancy and lactation labeling rule. </w:t>
      </w:r>
      <w:r w:rsidRPr="001666C3">
        <w:rPr>
          <w:rFonts w:ascii="Times New Roman" w:hAnsi="Times New Roman" w:cs="Times New Roman"/>
          <w:i/>
          <w:sz w:val="24"/>
          <w:szCs w:val="24"/>
        </w:rPr>
        <w:t>Journal of Midwifery &amp; Women's Health</w:t>
      </w:r>
      <w:r w:rsidRPr="001666C3">
        <w:rPr>
          <w:rFonts w:ascii="Times New Roman" w:hAnsi="Times New Roman" w:cs="Times New Roman"/>
          <w:sz w:val="24"/>
          <w:szCs w:val="24"/>
        </w:rPr>
        <w:t>, 62(3), 308-316.</w:t>
      </w:r>
    </w:p>
    <w:p w:rsidR="0024470C" w:rsidRPr="001666C3" w:rsidRDefault="0024470C" w:rsidP="001666C3">
      <w:pPr>
        <w:spacing w:line="480" w:lineRule="auto"/>
        <w:ind w:left="720" w:hanging="720"/>
        <w:rPr>
          <w:rFonts w:ascii="Times New Roman" w:hAnsi="Times New Roman" w:cs="Times New Roman"/>
          <w:sz w:val="24"/>
          <w:szCs w:val="24"/>
        </w:rPr>
      </w:pPr>
      <w:r w:rsidRPr="001666C3">
        <w:rPr>
          <w:rFonts w:ascii="Times New Roman" w:hAnsi="Times New Roman" w:cs="Times New Roman"/>
          <w:sz w:val="24"/>
          <w:szCs w:val="24"/>
        </w:rPr>
        <w:t xml:space="preserve">de Marco, B. A., Natori, J. S. H., Fanelli, S., Tótoli, E. G., &amp; Salgado, H. R. N. (2017). Characteristics, properties, and analytical methods of amoxicillin: a review with a green approach. </w:t>
      </w:r>
      <w:r w:rsidRPr="001666C3">
        <w:rPr>
          <w:rFonts w:ascii="Times New Roman" w:hAnsi="Times New Roman" w:cs="Times New Roman"/>
          <w:i/>
          <w:sz w:val="24"/>
          <w:szCs w:val="24"/>
        </w:rPr>
        <w:t>Critical reviews in analytical chemistry</w:t>
      </w:r>
      <w:r w:rsidRPr="001666C3">
        <w:rPr>
          <w:rFonts w:ascii="Times New Roman" w:hAnsi="Times New Roman" w:cs="Times New Roman"/>
          <w:sz w:val="24"/>
          <w:szCs w:val="24"/>
        </w:rPr>
        <w:t>, 47(3), 267-277.</w:t>
      </w:r>
    </w:p>
    <w:p w:rsidR="0024470C" w:rsidRPr="001666C3" w:rsidRDefault="0024470C" w:rsidP="001666C3">
      <w:pPr>
        <w:spacing w:line="480" w:lineRule="auto"/>
        <w:ind w:left="720" w:hanging="720"/>
        <w:rPr>
          <w:rFonts w:ascii="Times New Roman" w:hAnsi="Times New Roman" w:cs="Times New Roman"/>
          <w:sz w:val="24"/>
          <w:szCs w:val="24"/>
        </w:rPr>
      </w:pPr>
      <w:r w:rsidRPr="001666C3">
        <w:rPr>
          <w:rFonts w:ascii="Times New Roman" w:hAnsi="Times New Roman" w:cs="Times New Roman"/>
          <w:sz w:val="24"/>
          <w:szCs w:val="24"/>
        </w:rPr>
        <w:t xml:space="preserve">Greer, F. R., Sicherer, S. H., &amp; Burks, A. W. (2019). The effects of early nutritional interventions on the development of atopic disease in infants and children: the role of maternal dietary restriction, breastfeeding, hydrolyzed formulas, and timing of introduction of allergenic complementary foods. </w:t>
      </w:r>
      <w:r w:rsidRPr="001666C3">
        <w:rPr>
          <w:rFonts w:ascii="Times New Roman" w:hAnsi="Times New Roman" w:cs="Times New Roman"/>
          <w:i/>
          <w:sz w:val="24"/>
          <w:szCs w:val="24"/>
        </w:rPr>
        <w:t>Pediatrics</w:t>
      </w:r>
      <w:r w:rsidRPr="001666C3">
        <w:rPr>
          <w:rFonts w:ascii="Times New Roman" w:hAnsi="Times New Roman" w:cs="Times New Roman"/>
          <w:sz w:val="24"/>
          <w:szCs w:val="24"/>
        </w:rPr>
        <w:t>, 143(4).</w:t>
      </w:r>
    </w:p>
    <w:p w:rsidR="0024470C" w:rsidRPr="001666C3" w:rsidRDefault="0024470C" w:rsidP="001666C3">
      <w:pPr>
        <w:spacing w:line="480" w:lineRule="auto"/>
        <w:ind w:left="720" w:hanging="720"/>
        <w:rPr>
          <w:rFonts w:ascii="Times New Roman" w:hAnsi="Times New Roman" w:cs="Times New Roman"/>
          <w:sz w:val="24"/>
          <w:szCs w:val="24"/>
        </w:rPr>
      </w:pPr>
      <w:r w:rsidRPr="001666C3">
        <w:rPr>
          <w:rFonts w:ascii="Times New Roman" w:hAnsi="Times New Roman" w:cs="Times New Roman"/>
          <w:sz w:val="24"/>
          <w:szCs w:val="24"/>
        </w:rPr>
        <w:t>Meek, J. Y., &amp; Hatcher, A. J. (2017).The breastfeeding-friendly pediatric office practice.</w:t>
      </w:r>
      <w:r w:rsidRPr="001666C3">
        <w:rPr>
          <w:rFonts w:ascii="Times New Roman" w:hAnsi="Times New Roman" w:cs="Times New Roman"/>
          <w:i/>
          <w:sz w:val="24"/>
          <w:szCs w:val="24"/>
        </w:rPr>
        <w:t>Pediatrics,</w:t>
      </w:r>
      <w:r w:rsidRPr="001666C3">
        <w:rPr>
          <w:rFonts w:ascii="Times New Roman" w:hAnsi="Times New Roman" w:cs="Times New Roman"/>
          <w:sz w:val="24"/>
          <w:szCs w:val="24"/>
        </w:rPr>
        <w:t xml:space="preserve"> 139(5).</w:t>
      </w:r>
    </w:p>
    <w:p w:rsidR="0024470C" w:rsidRPr="001666C3" w:rsidRDefault="0024470C" w:rsidP="001666C3">
      <w:pPr>
        <w:spacing w:line="480" w:lineRule="auto"/>
        <w:rPr>
          <w:rFonts w:ascii="Times New Roman" w:hAnsi="Times New Roman" w:cs="Times New Roman"/>
          <w:sz w:val="24"/>
          <w:szCs w:val="24"/>
        </w:rPr>
      </w:pPr>
    </w:p>
    <w:p w:rsidR="0024470C" w:rsidRPr="001666C3" w:rsidRDefault="0024470C" w:rsidP="001666C3">
      <w:pPr>
        <w:spacing w:line="480" w:lineRule="auto"/>
        <w:rPr>
          <w:rFonts w:ascii="Times New Roman" w:hAnsi="Times New Roman" w:cs="Times New Roman"/>
          <w:sz w:val="24"/>
          <w:szCs w:val="24"/>
        </w:rPr>
      </w:pPr>
    </w:p>
    <w:p w:rsidR="0024470C" w:rsidRPr="001666C3" w:rsidRDefault="0024470C" w:rsidP="001666C3">
      <w:pPr>
        <w:spacing w:line="480" w:lineRule="auto"/>
        <w:rPr>
          <w:rFonts w:ascii="Times New Roman" w:hAnsi="Times New Roman" w:cs="Times New Roman"/>
          <w:sz w:val="24"/>
          <w:szCs w:val="24"/>
        </w:rPr>
      </w:pPr>
    </w:p>
    <w:p w:rsidR="0024470C" w:rsidRPr="001666C3" w:rsidRDefault="0024470C" w:rsidP="001666C3">
      <w:pPr>
        <w:spacing w:line="480" w:lineRule="auto"/>
        <w:rPr>
          <w:rFonts w:ascii="Times New Roman" w:hAnsi="Times New Roman" w:cs="Times New Roman"/>
          <w:sz w:val="24"/>
          <w:szCs w:val="24"/>
        </w:rPr>
      </w:pPr>
    </w:p>
    <w:p w:rsidR="0024470C" w:rsidRPr="001666C3" w:rsidRDefault="0024470C" w:rsidP="001666C3">
      <w:pPr>
        <w:spacing w:line="480" w:lineRule="auto"/>
        <w:rPr>
          <w:rFonts w:ascii="Times New Roman" w:hAnsi="Times New Roman" w:cs="Times New Roman"/>
          <w:sz w:val="24"/>
          <w:szCs w:val="24"/>
        </w:rPr>
      </w:pPr>
    </w:p>
    <w:p w:rsidR="0024470C" w:rsidRPr="001666C3" w:rsidRDefault="0024470C" w:rsidP="001666C3">
      <w:pPr>
        <w:spacing w:line="480" w:lineRule="auto"/>
        <w:rPr>
          <w:rFonts w:ascii="Times New Roman" w:hAnsi="Times New Roman" w:cs="Times New Roman"/>
          <w:sz w:val="24"/>
          <w:szCs w:val="24"/>
        </w:rPr>
      </w:pPr>
    </w:p>
    <w:p w:rsidR="006B53A8" w:rsidRPr="001666C3" w:rsidRDefault="006B53A8" w:rsidP="001666C3">
      <w:pPr>
        <w:spacing w:line="480" w:lineRule="auto"/>
        <w:rPr>
          <w:rFonts w:ascii="Times New Roman" w:hAnsi="Times New Roman" w:cs="Times New Roman"/>
          <w:sz w:val="24"/>
          <w:szCs w:val="24"/>
        </w:rPr>
      </w:pPr>
    </w:p>
    <w:sectPr w:rsidR="006B53A8" w:rsidRPr="001666C3" w:rsidSect="0024470C">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1A9D" w:rsidRDefault="00C01A9D" w:rsidP="0024470C">
      <w:pPr>
        <w:spacing w:after="0" w:line="240" w:lineRule="auto"/>
      </w:pPr>
      <w:r>
        <w:separator/>
      </w:r>
    </w:p>
  </w:endnote>
  <w:endnote w:type="continuationSeparator" w:id="1">
    <w:p w:rsidR="00C01A9D" w:rsidRDefault="00C01A9D" w:rsidP="002447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1A9D" w:rsidRDefault="00C01A9D" w:rsidP="0024470C">
      <w:pPr>
        <w:spacing w:after="0" w:line="240" w:lineRule="auto"/>
      </w:pPr>
      <w:r>
        <w:separator/>
      </w:r>
    </w:p>
  </w:footnote>
  <w:footnote w:type="continuationSeparator" w:id="1">
    <w:p w:rsidR="00C01A9D" w:rsidRDefault="00C01A9D" w:rsidP="0024470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savePreviewPicture/>
  <w:footnotePr>
    <w:footnote w:id="0"/>
    <w:footnote w:id="1"/>
  </w:footnotePr>
  <w:endnotePr>
    <w:endnote w:id="0"/>
    <w:endnote w:id="1"/>
  </w:endnotePr>
  <w:compat/>
  <w:rsids>
    <w:rsidRoot w:val="006B53A8"/>
    <w:rsid w:val="001666C3"/>
    <w:rsid w:val="0024470C"/>
    <w:rsid w:val="002D01A1"/>
    <w:rsid w:val="00303B36"/>
    <w:rsid w:val="006B53A8"/>
    <w:rsid w:val="006F2EF4"/>
    <w:rsid w:val="0078301A"/>
    <w:rsid w:val="007C42FC"/>
    <w:rsid w:val="0082722C"/>
    <w:rsid w:val="008D0BC6"/>
    <w:rsid w:val="008F5711"/>
    <w:rsid w:val="00A360B0"/>
    <w:rsid w:val="00AA72FF"/>
    <w:rsid w:val="00BA501F"/>
    <w:rsid w:val="00C01A9D"/>
    <w:rsid w:val="00CE20F5"/>
    <w:rsid w:val="00D65FAC"/>
    <w:rsid w:val="00F02D94"/>
    <w:rsid w:val="00F678EB"/>
    <w:rsid w:val="00FB51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51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47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70C"/>
  </w:style>
  <w:style w:type="paragraph" w:styleId="Footer">
    <w:name w:val="footer"/>
    <w:basedOn w:val="Normal"/>
    <w:link w:val="FooterChar"/>
    <w:uiPriority w:val="99"/>
    <w:unhideWhenUsed/>
    <w:rsid w:val="002447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470C"/>
  </w:style>
  <w:style w:type="paragraph" w:styleId="BalloonText">
    <w:name w:val="Balloon Text"/>
    <w:basedOn w:val="Normal"/>
    <w:link w:val="BalloonTextChar"/>
    <w:uiPriority w:val="99"/>
    <w:semiHidden/>
    <w:unhideWhenUsed/>
    <w:rsid w:val="002447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7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47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70C"/>
  </w:style>
  <w:style w:type="paragraph" w:styleId="Footer">
    <w:name w:val="footer"/>
    <w:basedOn w:val="Normal"/>
    <w:link w:val="FooterChar"/>
    <w:uiPriority w:val="99"/>
    <w:unhideWhenUsed/>
    <w:rsid w:val="002447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470C"/>
  </w:style>
  <w:style w:type="paragraph" w:styleId="BalloonText">
    <w:name w:val="Balloon Text"/>
    <w:basedOn w:val="Normal"/>
    <w:link w:val="BalloonTextChar"/>
    <w:uiPriority w:val="99"/>
    <w:semiHidden/>
    <w:unhideWhenUsed/>
    <w:rsid w:val="002447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70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4142293">
      <w:bodyDiv w:val="1"/>
      <w:marLeft w:val="0"/>
      <w:marRight w:val="0"/>
      <w:marTop w:val="0"/>
      <w:marBottom w:val="0"/>
      <w:divBdr>
        <w:top w:val="none" w:sz="0" w:space="0" w:color="auto"/>
        <w:left w:val="none" w:sz="0" w:space="0" w:color="auto"/>
        <w:bottom w:val="none" w:sz="0" w:space="0" w:color="auto"/>
        <w:right w:val="none" w:sz="0" w:space="0" w:color="auto"/>
      </w:divBdr>
      <w:divsChild>
        <w:div w:id="226769991">
          <w:marLeft w:val="0"/>
          <w:marRight w:val="0"/>
          <w:marTop w:val="0"/>
          <w:marBottom w:val="0"/>
          <w:divBdr>
            <w:top w:val="none" w:sz="0" w:space="0" w:color="auto"/>
            <w:left w:val="none" w:sz="0" w:space="0" w:color="auto"/>
            <w:bottom w:val="none" w:sz="0" w:space="0" w:color="auto"/>
            <w:right w:val="none" w:sz="0" w:space="0" w:color="auto"/>
          </w:divBdr>
        </w:div>
      </w:divsChild>
    </w:div>
    <w:div w:id="136269618">
      <w:bodyDiv w:val="1"/>
      <w:marLeft w:val="0"/>
      <w:marRight w:val="0"/>
      <w:marTop w:val="0"/>
      <w:marBottom w:val="0"/>
      <w:divBdr>
        <w:top w:val="none" w:sz="0" w:space="0" w:color="auto"/>
        <w:left w:val="none" w:sz="0" w:space="0" w:color="auto"/>
        <w:bottom w:val="none" w:sz="0" w:space="0" w:color="auto"/>
        <w:right w:val="none" w:sz="0" w:space="0" w:color="auto"/>
      </w:divBdr>
      <w:divsChild>
        <w:div w:id="483668365">
          <w:marLeft w:val="0"/>
          <w:marRight w:val="0"/>
          <w:marTop w:val="0"/>
          <w:marBottom w:val="0"/>
          <w:divBdr>
            <w:top w:val="none" w:sz="0" w:space="0" w:color="auto"/>
            <w:left w:val="none" w:sz="0" w:space="0" w:color="auto"/>
            <w:bottom w:val="none" w:sz="0" w:space="0" w:color="auto"/>
            <w:right w:val="none" w:sz="0" w:space="0" w:color="auto"/>
          </w:divBdr>
        </w:div>
      </w:divsChild>
    </w:div>
    <w:div w:id="1606575236">
      <w:bodyDiv w:val="1"/>
      <w:marLeft w:val="0"/>
      <w:marRight w:val="0"/>
      <w:marTop w:val="0"/>
      <w:marBottom w:val="0"/>
      <w:divBdr>
        <w:top w:val="none" w:sz="0" w:space="0" w:color="auto"/>
        <w:left w:val="none" w:sz="0" w:space="0" w:color="auto"/>
        <w:bottom w:val="none" w:sz="0" w:space="0" w:color="auto"/>
        <w:right w:val="none" w:sz="0" w:space="0" w:color="auto"/>
      </w:divBdr>
      <w:divsChild>
        <w:div w:id="1397584499">
          <w:marLeft w:val="0"/>
          <w:marRight w:val="0"/>
          <w:marTop w:val="0"/>
          <w:marBottom w:val="0"/>
          <w:divBdr>
            <w:top w:val="none" w:sz="0" w:space="0" w:color="auto"/>
            <w:left w:val="none" w:sz="0" w:space="0" w:color="auto"/>
            <w:bottom w:val="none" w:sz="0" w:space="0" w:color="auto"/>
            <w:right w:val="none" w:sz="0" w:space="0" w:color="auto"/>
          </w:divBdr>
        </w:div>
      </w:divsChild>
    </w:div>
    <w:div w:id="1828744513">
      <w:bodyDiv w:val="1"/>
      <w:marLeft w:val="0"/>
      <w:marRight w:val="0"/>
      <w:marTop w:val="0"/>
      <w:marBottom w:val="0"/>
      <w:divBdr>
        <w:top w:val="none" w:sz="0" w:space="0" w:color="auto"/>
        <w:left w:val="none" w:sz="0" w:space="0" w:color="auto"/>
        <w:bottom w:val="none" w:sz="0" w:space="0" w:color="auto"/>
        <w:right w:val="none" w:sz="0" w:space="0" w:color="auto"/>
      </w:divBdr>
      <w:divsChild>
        <w:div w:id="11040304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731</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2020-08-19T19:34:00Z</dcterms:created>
  <dcterms:modified xsi:type="dcterms:W3CDTF">2020-08-19T19:34:00Z</dcterms:modified>
</cp:coreProperties>
</file>